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bookmarkStart w:id="0" w:name="_GoBack"/>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枣庄市长期护理保险定点护理服务机构资源配置规划（2027—2028年）【试行】</w:t>
      </w:r>
    </w:p>
    <w:bookmarkEnd w:id="0"/>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center"/>
        <w:textAlignment w:val="auto"/>
        <w:rPr>
          <w:rFonts w:hint="eastAsia" w:ascii="楷体_GB2312" w:hAnsi="楷体_GB2312" w:eastAsia="楷体_GB2312" w:cs="楷体_GB2312"/>
          <w:b w:val="0"/>
          <w:bCs w:val="0"/>
          <w:color w:val="000000" w:themeColor="text1"/>
          <w:sz w:val="44"/>
          <w:szCs w:val="44"/>
          <w14:textFill>
            <w14:solidFill>
              <w14:schemeClr w14:val="tx1"/>
            </w14:solidFill>
          </w14:textFill>
        </w:rPr>
      </w:pPr>
      <w:r>
        <w:rPr>
          <w:rFonts w:hint="eastAsia" w:ascii="楷体_GB2312" w:hAnsi="楷体_GB2312" w:eastAsia="楷体_GB2312" w:cs="楷体_GB2312"/>
          <w:b w:val="0"/>
          <w:bCs w:val="0"/>
          <w:color w:val="000000" w:themeColor="text1"/>
          <w:sz w:val="44"/>
          <w:szCs w:val="44"/>
          <w14:textFill>
            <w14:solidFill>
              <w14:schemeClr w14:val="tx1"/>
            </w14:solidFill>
          </w14:textFill>
        </w:rPr>
        <w:t>（</w:t>
      </w:r>
      <w:r>
        <w:rPr>
          <w:rFonts w:hint="eastAsia" w:ascii="楷体_GB2312" w:hAnsi="楷体_GB2312" w:eastAsia="楷体_GB2312" w:cs="楷体_GB2312"/>
          <w:b w:val="0"/>
          <w:bCs w:val="0"/>
          <w:color w:val="000000" w:themeColor="text1"/>
          <w:sz w:val="44"/>
          <w:szCs w:val="44"/>
          <w:lang w:val="en-US" w:eastAsia="zh-CN"/>
          <w14:textFill>
            <w14:solidFill>
              <w14:schemeClr w14:val="tx1"/>
            </w14:solidFill>
          </w14:textFill>
        </w:rPr>
        <w:t>公开</w:t>
      </w:r>
      <w:r>
        <w:rPr>
          <w:rFonts w:hint="eastAsia" w:ascii="楷体_GB2312" w:hAnsi="楷体_GB2312" w:eastAsia="楷体_GB2312" w:cs="楷体_GB2312"/>
          <w:b w:val="0"/>
          <w:bCs w:val="0"/>
          <w:color w:val="000000" w:themeColor="text1"/>
          <w:sz w:val="44"/>
          <w:szCs w:val="44"/>
          <w14:textFill>
            <w14:solidFill>
              <w14:schemeClr w14:val="tx1"/>
            </w14:solidFill>
          </w14:textFill>
        </w:rPr>
        <w:t>征求意见稿）</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为落实国家、省、市长期护理保险制度改革工作要求，依据国家医保局《长期护理保险护理服务机构定点管理办法（试行）》（医保办发〔2024〕21号）、《长期护理保险经办规程（试行）》（医保办发〔2024〕22号）及省、市相关文件，结合我市实际，制定本规划。</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一、总则</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（一）指导思想</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以习近平新时代中国特色社会主义思想为指导，落实积极应对人口老龄化国家战略，按照长护险改革部署，统筹优化照护资源布局，提升护理服务质量，守住基金安全底线。依托数字化监管、绩效考核、定点机构动态进退机制，盘活现有服务资源，补齐基层照护短板，建成供需匹配、兜底可靠的长期护理服务体系，不断提高失能参保人员保障水平，提升失能群众获得感、幸福感、安全感。</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（二）基本原则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存量为主、分类管控</w:t>
      </w:r>
      <w:r>
        <w:rPr>
          <w:rFonts w:hint="eastAsia" w:ascii="仿宋_GB2312" w:hAnsi="仿宋_GB2312" w:eastAsia="仿宋_GB2312" w:cs="仿宋_GB2312"/>
          <w:b w:val="0"/>
          <w:bCs w:val="0"/>
          <w:color w:val="000000" w:themeColor="text1"/>
          <w:sz w:val="32"/>
          <w:szCs w:val="32"/>
          <w14:textFill>
            <w14:solidFill>
              <w14:schemeClr w14:val="tx1"/>
            </w14:solidFill>
          </w14:textFill>
        </w:rPr>
        <w:t>。现有定点机构协议继续有效，工作重心放在提质增效；新增定点坚持按需准入、从严审核。按照机构功能定位实施分类管理：承担城乡失能人员兜底保障、基层连续性照护服务的基层公立医疗机构，在片区供给紧缺、存在失能人员刚性服务缺口时，可优先扩容完善照护服务能力；市场化运营护理机构新增定点，实施区域饱和度管控、单体规模约束，落实“先退出、后准入”动态置换机制，结合片区供需状况、基金运行绩效统筹调控供给规模。所有机构纳入统一绩效考核、动态清退管理。</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供需匹配、基金可控</w:t>
      </w:r>
      <w:r>
        <w:rPr>
          <w:rFonts w:hint="eastAsia" w:ascii="仿宋_GB2312" w:hAnsi="仿宋_GB2312" w:eastAsia="仿宋_GB2312" w:cs="仿宋_GB2312"/>
          <w:b w:val="0"/>
          <w:bCs w:val="0"/>
          <w:color w:val="000000" w:themeColor="text1"/>
          <w:sz w:val="32"/>
          <w:szCs w:val="32"/>
          <w14:textFill>
            <w14:solidFill>
              <w14:schemeClr w14:val="tx1"/>
            </w14:solidFill>
          </w14:textFill>
        </w:rPr>
        <w:t>。坚持量入为出、按需布局，结合失能人员需求和基金承受能力配置资源。避免无效供给、同质化竞争，保障长护险基金平稳可持续运行。</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城乡统筹、层级适配</w:t>
      </w:r>
      <w:r>
        <w:rPr>
          <w:rFonts w:hint="eastAsia" w:ascii="仿宋_GB2312" w:hAnsi="仿宋_GB2312" w:eastAsia="仿宋_GB2312" w:cs="仿宋_GB2312"/>
          <w:b w:val="0"/>
          <w:bCs w:val="0"/>
          <w:color w:val="000000" w:themeColor="text1"/>
          <w:sz w:val="32"/>
          <w:szCs w:val="32"/>
          <w14:textFill>
            <w14:solidFill>
              <w14:schemeClr w14:val="tx1"/>
            </w14:solidFill>
          </w14:textFill>
        </w:rPr>
        <w:t>。镇卫生院、街道社区卫生服务中心（以下简称镇〈街〉卫生院)作为辖区长护服务主要承担主体；城市社区打造就近日间照护；农村依托村级延伸点提供基础照护。构建“机构专业照护、社区日间托护、村级延伸点轻量化服务”的城乡一体化照护格局。</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优胜劣汰、提质培优</w:t>
      </w:r>
      <w:r>
        <w:rPr>
          <w:rFonts w:hint="eastAsia" w:ascii="仿宋_GB2312" w:hAnsi="仿宋_GB2312" w:eastAsia="仿宋_GB2312" w:cs="仿宋_GB2312"/>
          <w:b w:val="0"/>
          <w:bCs w:val="0"/>
          <w:color w:val="000000" w:themeColor="text1"/>
          <w:sz w:val="32"/>
          <w:szCs w:val="32"/>
          <w14:textFill>
            <w14:solidFill>
              <w14:schemeClr w14:val="tx1"/>
            </w14:solidFill>
          </w14:textFill>
        </w:rPr>
        <w:t>。建立以服务质量、履约合规、群众评价为核心的绩效考核与定点进退机制。清退低效闲置机构，扶持规范连锁优质机构，推动长护服务从扩数量转向提质量。</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数字赋能、创新示范</w:t>
      </w:r>
      <w:r>
        <w:rPr>
          <w:rFonts w:hint="eastAsia" w:ascii="仿宋_GB2312" w:hAnsi="仿宋_GB2312" w:eastAsia="仿宋_GB2312" w:cs="仿宋_GB2312"/>
          <w:b w:val="0"/>
          <w:bCs w:val="0"/>
          <w:color w:val="000000" w:themeColor="text1"/>
          <w:sz w:val="32"/>
          <w:szCs w:val="32"/>
          <w14:textFill>
            <w14:solidFill>
              <w14:schemeClr w14:val="tx1"/>
            </w14:solidFill>
          </w14:textFill>
        </w:rPr>
        <w:t>。依托市级长护信息平台，实现资源调配、服务监管、基金风险防控全流程线上闭环。创新差异化准入、机构置换、村级延伸点下沉服务模式，打造长护险精细化治理样板。</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（三）适用范围</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本规划设置的区域总量调控、机构置换、饱和度准入、单体规模限额等供给调控措施，适用于市场化运营、以长护保险服务作为经营性业务，新申请纳入定点的居家护理、机构护理、专营社区护理机构。</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镇（街）卫生院、依托村卫生室设立的长护服务村级延伸点，属于基层公立医疗机构开展兜底连续性照护，不适用市场化机构增量限额管控。村级延伸点为所属镇（街）卫生院定点服务延伸网点，不单独取得定点资格，不占用市场化机构调控额度。</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公立医疗机构新增长护定点或扩容床位，仍应当开展片区供需评估；片区供给过剩的，原则上不再新增长护床位与定点服务。存量定点机构拓展社区护理业务、智慧照护新业态，实行提质赋能、按需备案管理。</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所有已经取得定点资格的存量机构，无论举办主体类型，统一执行绩效考核和动态清退规定。</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（四）主要目标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存量资源提质升级</w:t>
      </w:r>
      <w:r>
        <w:rPr>
          <w:rFonts w:hint="eastAsia" w:ascii="仿宋_GB2312" w:hAnsi="仿宋_GB2312" w:eastAsia="仿宋_GB2312" w:cs="仿宋_GB2312"/>
          <w:b w:val="0"/>
          <w:bCs w:val="0"/>
          <w:color w:val="000000" w:themeColor="text1"/>
          <w:sz w:val="32"/>
          <w:szCs w:val="32"/>
          <w14:textFill>
            <w14:solidFill>
              <w14:schemeClr w14:val="tx1"/>
            </w14:solidFill>
          </w14:textFill>
        </w:rPr>
        <w:t>。全面规范现有定点机构服务能力，夯实镇（街）卫生院兜底、需求转介、长期照护功能，推广医养融合模式，提高现有资源使用效率。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增量供给精准有序</w:t>
      </w:r>
      <w:r>
        <w:rPr>
          <w:rFonts w:hint="eastAsia" w:ascii="仿宋_GB2312" w:hAnsi="仿宋_GB2312" w:eastAsia="仿宋_GB2312" w:cs="仿宋_GB2312"/>
          <w:b w:val="0"/>
          <w:bCs w:val="0"/>
          <w:color w:val="000000" w:themeColor="text1"/>
          <w:sz w:val="32"/>
          <w:szCs w:val="32"/>
          <w14:textFill>
            <w14:solidFill>
              <w14:schemeClr w14:val="tx1"/>
            </w14:solidFill>
          </w14:textFill>
        </w:rPr>
        <w:t>。市场化运营居家护理、机构护理、专营社区护理新增定点实行动态置换准入。严控低端零散新增，优先引进优质连锁机构；设置单体机构规模上限，开展运行监测预警，防范局部供给过剩风险。</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社区服务就近可及</w:t>
      </w:r>
      <w:r>
        <w:rPr>
          <w:rFonts w:hint="eastAsia" w:ascii="仿宋_GB2312" w:hAnsi="仿宋_GB2312" w:eastAsia="仿宋_GB2312" w:cs="仿宋_GB2312"/>
          <w:b w:val="0"/>
          <w:bCs w:val="0"/>
          <w:color w:val="000000" w:themeColor="text1"/>
          <w:sz w:val="32"/>
          <w:szCs w:val="32"/>
          <w14:textFill>
            <w14:solidFill>
              <w14:schemeClr w14:val="tx1"/>
            </w14:solidFill>
          </w14:textFill>
        </w:rPr>
        <w:t>。规范发展城镇社区日间照护，建立点位饱和度管控和低效点位退出机制，补齐短时托护、日间照护短板，建设便捷的城市社区照护网络。</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农村服务全域兜底</w:t>
      </w:r>
      <w:r>
        <w:rPr>
          <w:rFonts w:hint="eastAsia" w:ascii="仿宋_GB2312" w:hAnsi="仿宋_GB2312" w:eastAsia="仿宋_GB2312" w:cs="仿宋_GB2312"/>
          <w:b w:val="0"/>
          <w:bCs w:val="0"/>
          <w:color w:val="000000" w:themeColor="text1"/>
          <w:sz w:val="32"/>
          <w:szCs w:val="32"/>
          <w14:textFill>
            <w14:solidFill>
              <w14:schemeClr w14:val="tx1"/>
            </w14:solidFill>
          </w14:textFill>
        </w:rPr>
        <w:t>。稳步建设长护服务村级延伸点，2028年实现行政村全覆盖。落实镇村分级服务，侵入性操作、高风险医疗护理由镇（街）卫生院承接，筑牢农村失能群体照护底线。</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监管体系闭环成型</w:t>
      </w:r>
      <w:r>
        <w:rPr>
          <w:rFonts w:hint="eastAsia" w:ascii="仿宋_GB2312" w:hAnsi="仿宋_GB2312" w:eastAsia="仿宋_GB2312" w:cs="仿宋_GB2312"/>
          <w:b w:val="0"/>
          <w:bCs w:val="0"/>
          <w:color w:val="000000" w:themeColor="text1"/>
          <w:sz w:val="32"/>
          <w:szCs w:val="32"/>
          <w14:textFill>
            <w14:solidFill>
              <w14:schemeClr w14:val="tx1"/>
            </w14:solidFill>
          </w14:textFill>
        </w:rPr>
        <w:t>。建成数字化、绩效化、动态化资源配置监管体系，做到供需可监测、服务可评估、机构能进能退、风险可预警，形成可复制推广的长护险精细化管理模式。</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二、统计口径与管控规则</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（一）片区划分规则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居家护理：以区（市）作为管控单元，设置区（市）总量上限，不硬性分解到镇（街）。市场化运营居家护理机构占用注册所在区（市）调控额度。各区（市）可结合镇（街）失能人员分布开展需求研判，但机构总数不能突破市级核定上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机构护理、社区护理：以镇（街）行政辖区作为独立管控片区，一镇一片、一街一片；一个机构对应一个服务点位，不能跨镇（街）合并片区。床位、点位按实际服务场地所在镇（街）归入对应片区，两类业态数据分开核算，互不混用。</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（二）新增准入两项硬性要求</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市场化运营的居家护理、机构护理、专营社区护理申请新增定点，执行两类规划约束，两类约束适用业态不同，不得混淆。</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片区供需饱和度、总量额度是编制年度遴选计划的前置研判条件，不接受对未纳入遴选计划的单个机构开展事后校验准入。</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片区供需饱和度约束</w:t>
      </w:r>
      <w:r>
        <w:rPr>
          <w:rFonts w:hint="eastAsia" w:ascii="仿宋_GB2312" w:hAnsi="仿宋_GB2312" w:eastAsia="仿宋_GB2312" w:cs="仿宋_GB2312"/>
          <w:b w:val="0"/>
          <w:bCs w:val="0"/>
          <w:color w:val="000000" w:themeColor="text1"/>
          <w:sz w:val="32"/>
          <w:szCs w:val="32"/>
          <w14:textFill>
            <w14:solidFill>
              <w14:schemeClr w14:val="tx1"/>
            </w14:solidFill>
          </w14:textFill>
        </w:rPr>
        <w:t>：仅适用于机构护理、专营社区护理，以镇（街）为独立管控片区。片区经研判判定供给过剩的，该片区不得设置市场化机构护理、专营社区护理新增遴选名额。居家护理不适用镇（街）片区饱和度管控。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总量额度约束</w:t>
      </w:r>
      <w:r>
        <w:rPr>
          <w:rFonts w:hint="eastAsia" w:ascii="仿宋_GB2312" w:hAnsi="仿宋_GB2312" w:eastAsia="仿宋_GB2312" w:cs="仿宋_GB2312"/>
          <w:b w:val="0"/>
          <w:bCs w:val="0"/>
          <w:color w:val="000000" w:themeColor="text1"/>
          <w:sz w:val="32"/>
          <w:szCs w:val="32"/>
          <w14:textFill>
            <w14:solidFill>
              <w14:schemeClr w14:val="tx1"/>
            </w14:solidFill>
          </w14:textFill>
        </w:rPr>
        <w:t>：居家护理新增不得超出注册地所属区（市）核定的居家护理机构调控总额；机构护理、专营社区护理新增不得超出本区（市）下达的对应业态年度新增名额上限。</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（三）数据剔除规则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计算所有服务效能指标时，只统计长护险基金支付的合规服务量。下列内容不计入指标核算：自费养老服务、空置床位、暂停使用床位、违规挂床、非长护保障对象产生的服务。</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三、各类业态增量管控、指标阈值与进退管理</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（一）居家护理总量管控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额度核定：规划实施期间，根据全市人口、失能人员规模、基金承受能力，核定全市及各区（市）市场化运营居家护理机构调控额度：滕州市□家、薛城区□家、山亭区□家、市中区□家、峄城区□家、台儿庄区□家。额度实行动态调整，不是永久固定上限，区（市）不得自行上调。如需调整额度，由区（市）医保部门开展专项评估，书面上报市医保局审批。</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准入分类管理：额度未满、供需平稳、基金运行稳定的区（市）：按照备案遴选计划择优新增优质机构，不需要腾退旧机构；额度已满、供给饱和的区（市），实行</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先出后进、同类业态置换</w:t>
      </w:r>
      <w:r>
        <w:rPr>
          <w:rFonts w:hint="eastAsia" w:ascii="仿宋_GB2312" w:hAnsi="仿宋_GB2312" w:eastAsia="仿宋_GB2312" w:cs="仿宋_GB2312"/>
          <w:b w:val="0"/>
          <w:bCs w:val="0"/>
          <w:color w:val="000000" w:themeColor="text1"/>
          <w:sz w:val="32"/>
          <w:szCs w:val="32"/>
          <w14:textFill>
            <w14:solidFill>
              <w14:schemeClr w14:val="tx1"/>
            </w14:solidFill>
          </w14:textFill>
        </w:rPr>
        <w:t>，居家护理机构退出释放额度仅用于吸纳新的居家护理机构；未纳入年度备案遴选计划、超出调控额度的新增申请，一律不予定点备案。</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（二）机构护理效能管控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实行两套指标分开使用：一套用于存量机构绩效考核、清退；一套用于片区供需研判、新增机构准入。两套指标计算口径一致，但数据分开使用，不交叉套用。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1.指标定义、统计周期与阈值</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单机构床位利用率（存量机构考核使用）</w:t>
      </w:r>
      <w:r>
        <w:rPr>
          <w:rFonts w:hint="eastAsia" w:ascii="仿宋_GB2312" w:hAnsi="仿宋_GB2312" w:eastAsia="仿宋_GB2312" w:cs="仿宋_GB2312"/>
          <w:b w:val="0"/>
          <w:bCs w:val="0"/>
          <w:color w:val="000000" w:themeColor="text1"/>
          <w:sz w:val="32"/>
          <w:szCs w:val="32"/>
          <w14:textFill>
            <w14:solidFill>
              <w14:schemeClr w14:val="tx1"/>
            </w14:solidFill>
          </w14:textFill>
        </w:rPr>
        <w:t>计算公式：单机构床位利用率＝机构年度长护险实际支付床日总数÷（机构备案长护核定床位总数×年度自然总床日）×100%；统计周期：自然年度。备案说明：备案长护核定床位，是医保现场核查、定点准入时锁定、系统登记的专属长护床位；机构申请增减床位时方可变更。自费床位、兼用床位、临时床位不纳入备案核定。阈值：年度床位利用率＜50%，认定为低效闲置机构；连续两年低效、履约差、服务不达标、群众满意度偏低的，列入限期整改、核减床位、终止定点协议清单。用途：存量机构绩效考核、整改清退；不作为片区新增机构准入依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片区床位利用率（新增准入研判使用）</w:t>
      </w:r>
      <w:r>
        <w:rPr>
          <w:rFonts w:hint="eastAsia" w:ascii="仿宋_GB2312" w:hAnsi="仿宋_GB2312" w:eastAsia="仿宋_GB2312" w:cs="仿宋_GB2312"/>
          <w:b w:val="0"/>
          <w:bCs w:val="0"/>
          <w:color w:val="000000" w:themeColor="text1"/>
          <w:sz w:val="32"/>
          <w:szCs w:val="32"/>
          <w14:textFill>
            <w14:solidFill>
              <w14:schemeClr w14:val="tx1"/>
            </w14:solidFill>
          </w14:textFill>
        </w:rPr>
        <w:t>计算公式：片区床位利用率＝片区全部定点机构年度长护险实际支付床日汇总数÷（片区全部定点机构备案长护核定床位总数×年度自然总床日）×100%统计周期：自然年度。阈值：≥70%，供给紧缺；50%～70%，供需均衡；＜50%，供给过剩。用途：片区新增机构、床位扩容管控；不用于单个机构绩效考核。</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2.片区准入分类管控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供给紧缺片区：可按备案遴选计划新增机构、扩容床位，同步清退存量低效机构。优先增加镇（街）卫生院床位；公立资源仍无法满足重度失能人员入住需求时，方可新增市场化运营机构护理定点。</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供需均衡片区：严控大规模新增机构，以补齐结构性服务缺口为主，重心放在存量提质。</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供给过剩片区：停止新增市场化运营机构、停止床位扩容，重点盘活现有存量资源。</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3.市场化运营机构单体床位准入限额</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市场化运营机构新申请定点：核定长护床位原则上不超过200张；存量市场化运营机构备案床位超过300张的，不再新增床位，纳入重点绩效监管。</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公立医疗机构新增长护床位不受本条单体床位限额约束，但新增床位必须开展片区供需评估，片区供给过剩的不得新增。</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存量过渡：规划实施前已经准入、床位超出限额的市场化运营机构，不强制削减原有床位，但不能再新增床位，依靠绩效考核逐步优化。</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4.存量机构退出安置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机构出现床位长期闲置、履约不规范、基金风险等情况，限期整改、核减床位；整改仍不合格，按规定终止定点协议。机构退出前，必须妥善完成失能人员转介安置，保障服务连续不断。</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（三）社区护理饱和度管控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点位布设要求：社区日间照护点位，仅限城市社区、镇驻地居委会辖区设立；农村行政村建设长护服务村级延伸点，不再重复设置社区护理点位。实行点位绩效考核、片区饱和度准入双轨管控。</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1.指标定义、统计周期与阈值</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单点位服务使用率（存量点位考核使用）</w:t>
      </w:r>
      <w:r>
        <w:rPr>
          <w:rFonts w:hint="eastAsia" w:ascii="仿宋_GB2312" w:hAnsi="仿宋_GB2312" w:eastAsia="仿宋_GB2312" w:cs="仿宋_GB2312"/>
          <w:b w:val="0"/>
          <w:bCs w:val="0"/>
          <w:color w:val="000000" w:themeColor="text1"/>
          <w:sz w:val="32"/>
          <w:szCs w:val="32"/>
          <w14:textFill>
            <w14:solidFill>
              <w14:schemeClr w14:val="tx1"/>
            </w14:solidFill>
          </w14:textFill>
        </w:rPr>
        <w:t>计算公式：单点位服务使用率＝点位月度日均长护合规结算服务人次÷点位备案单日最大服务容量×100%。统计口径：仅统计长护基金支付的生活照护、医疗护理人次；自费、非长护服务不计入。容量核定：在岗持证长护人员单日最多承接8人次长护服务；点位备案单日容量=在岗持证人员数×8人次/日。由医保经办核验人员资质、在岗台账后备案，人员变动及时更新，严禁虚增服务容量。阈值：连续两个季度使用率＜50%，认定为低效点位，限期整改、核减服务容量；整改不合格，取消社区护理备案。用途：存量点位考核清退；不作为片区新增点位准入依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片区点位容量总使用率（新增点位准入研判使用）</w:t>
      </w:r>
      <w:r>
        <w:rPr>
          <w:rFonts w:hint="eastAsia" w:ascii="仿宋_GB2312" w:hAnsi="仿宋_GB2312" w:eastAsia="仿宋_GB2312" w:cs="仿宋_GB2312"/>
          <w:b w:val="0"/>
          <w:bCs w:val="0"/>
          <w:color w:val="000000" w:themeColor="text1"/>
          <w:sz w:val="32"/>
          <w:szCs w:val="32"/>
          <w14:textFill>
            <w14:solidFill>
              <w14:schemeClr w14:val="tx1"/>
            </w14:solidFill>
          </w14:textFill>
        </w:rPr>
        <w:t>计算公式：片区点位容量总使用率＝片区月度日均长护合规服务总人次÷片区全部点位备案单日最大服务总容量×100%；监测周期：按月监测，每半年汇总研判。阈值：≥75%，供给紧缺，可新增点位、存量点位扩容；50%～75%，供需平衡，禁止批量新增，仅可在空白社区少量补点；＜50%，供给过剩，暂停新增备案，整治存量低效点位。用途：片区新增点位、扩容管控；不用于单个点位考核。</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2.集中度管控规则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同一法人或实际控制主体，在同一片区全部社区护理点位备案总容量占片区社区护理点位总备案容量</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达到或者超过60%的，触发市场集中度预警，暂停该市场主体在本片区申请新增社区护理点位备案，已备案存量点位维持原有备案容量不变</w:t>
      </w:r>
      <w:r>
        <w:rPr>
          <w:rFonts w:hint="eastAsia" w:ascii="仿宋_GB2312" w:hAnsi="仿宋_GB2312" w:eastAsia="仿宋_GB2312" w:cs="仿宋_GB2312"/>
          <w:b w:val="0"/>
          <w:bCs w:val="0"/>
          <w:color w:val="000000" w:themeColor="text1"/>
          <w:sz w:val="32"/>
          <w:szCs w:val="32"/>
          <w14:textFill>
            <w14:solidFill>
              <w14:schemeClr w14:val="tx1"/>
            </w14:solidFill>
          </w14:textFill>
        </w:rPr>
        <w:t>。公立定点机构增设社区点位，不受集中度预警限制。片区供给过剩时，任何主体不得新增社区护理点位备案。</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（四）长护服务村级延伸点管控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长护服务村级延伸点依托实行一体化管理的村卫生室建设，归属镇（街）卫生院定点主体统一管理。不单独设立长护定点机构、不单独签订定点协议、不占用市场化机构管控额度，履约责任由所属镇（街）卫生院承担。实行“镇（街）卫生院统一派单、统一培训质控、统一结算拨付、村级落地服务”模式，成熟一批、备案一批、规范一批。</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服务边界与禁止事项：村级延伸点只开展生活照料、基础医疗护理等轻量化照护服务；侵入性操作、高风险医疗护理项目，全部交由镇（街）卫生院承接。</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备案条件：村卫生室落实一体化管理，执业资质有效；至少配备1名持证长期照护师；具备开展基础照护的场地、设备；接入市级长护信息平台，工单、服务记录全程留痕；经所属镇（街）卫生院现场初审合格。</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备案流程：村卫生室向所属镇（街）卫生院提交设立申请→镇（街）卫生院现场核查、初审→区（市）医保经办机构10个工作日内完成备案并对外公示，备案信息同步推送卫健部门协同监管。</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结算监管：镇（街）卫生院作为定点主体，统一接收辖区失能照护需求、向村级延伸点派发服务工单、统一向经办机构申报结算；长护险基金拨付至镇（街）卫生院，由卫生院据实足额兑付村级服务费用，专款专用，严禁截留、挤占、挪用。全部服务轨迹、照护记录纳入市级监管闭环。</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动态进退管理：建立村卫生室自查、镇（街）卫生院月度检查、区（市）医保部门季度检查三级质控机制。出现执业资质失效、超范围行医、欺诈骗保情形的，区（市）医保经办机构可撤销该村级延伸点备案；涉及的失能参保人员，由所属镇（街）卫生院直接承接，保障服务不间断。</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四、分类服务配置重点任务</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（一）居家护理服务提质与补短板</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城区提质控量：主城区供给充足、机构密集的区（市），原则上不再新增普通中小型市场化运营居家护理机构，重点推进存量机构标准化、智慧化改造，整治低效服务，规范服务流程。</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优质主体单列引进：开辟连锁居家护理机构市级专项准入通道。纳入通道的机构，不占用区（市）普通市场化机构年度新增名额。市级通道新增规模纳入规划总体测算管控范围。对具备连锁运营、标准化管理、智慧化服务能力的机构，由市级医保经办机构按规定受理准入，带动全市居家照护服务水平整体提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农村精准补齐短板：农村以镇（街）卫生院居家上门为兜底主体；依托村级延伸点提供村级轻量化照护；在公立服务薄弱、偏远空白村居，利用低效机构退出腾退的名额，择优遴选优质市场化机构补位，提升上门照护能力。</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退出接续保障：市场化运营居家护理机构终止定点服务，应当提前30日向属地经办机构书面报备，完整移交服务台账和失能人员信息，由镇（街）卫生院统筹转介安置，防止服务中断。</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（二）机构护理资源优化配置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以片区床位饱和度为依据，科学控制新增床位，清理盘活低效存量床位，构建“城区提质扩容、乡镇兜底补优”格局。优先保障重度失能人员刚需床位；持续提升机构专业化、个性化照护能力，推动机构照护从“有床位”向“质量好、效能高、有温度”转变，建立分层分级失能照护体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（三）强化镇（街）卫生院主体功能</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发挥镇（街）卫生院辖区长护服务总牵头作用，夯实公立兜底根基。镇（街）卫生院统筹辖区床位资源、居家上门、社区点位、村级延伸点的布局调度、工单派单、质量监管、人员培训、合规核查、双向转诊。按需设置长护服务专区，开展多类型照护和分级转介，建立失能人员照护流转台账。重点补强偏远乡镇公立照护床位和专业能力，稳住城乡长护服务基本盘。</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（四）社区护理规范化运营</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现有合规长护定点机构，场地、消防、院感、人员、信息系统达标，经评估验收，可直接备案开展社区护理业务，不需要另行申请定点资质，降低合规机构运营成本。新设专营社区护理机构全部纳入年度遴选计划，严控低端供给。社区点位功能仅限日间短时托护，严禁违规开展24小时全日制住养。完善居家、社区、机构之间双向转介、资源共享机制，补齐临时托护、日间照护短板，打造“15分钟城市照护服务圈”。</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五、组织实施</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（一）职责分工</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1.市医保局</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①统筹规划实施，落实上级政策，制定全市统一的准入规则、管控标准、服务规范，开展政策解读与制度创新，协调重大事项。②统筹全市照护资源布局，落实公平竞争</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初审</w:t>
      </w:r>
      <w:r>
        <w:rPr>
          <w:rFonts w:hint="eastAsia" w:ascii="仿宋_GB2312" w:hAnsi="仿宋_GB2312" w:eastAsia="仿宋_GB2312" w:cs="仿宋_GB2312"/>
          <w:b w:val="0"/>
          <w:bCs w:val="0"/>
          <w:color w:val="000000" w:themeColor="text1"/>
          <w:sz w:val="32"/>
          <w:szCs w:val="32"/>
          <w14:textFill>
            <w14:solidFill>
              <w14:schemeClr w14:val="tx1"/>
            </w14:solidFill>
          </w14:textFill>
        </w:rPr>
        <w:t>，监督市经办、各区（市）医保局规划执行情况。③审核备案区（市）年度定点遴选工作计划、居家护理调控额度动态调整事项，统筹处置规划实施过程中的重大风险。</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2.市医保经办机构</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①接收各区（市）上报年度</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定点遴选</w:t>
      </w:r>
      <w:r>
        <w:rPr>
          <w:rFonts w:hint="eastAsia" w:ascii="仿宋_GB2312" w:hAnsi="仿宋_GB2312" w:eastAsia="仿宋_GB2312" w:cs="仿宋_GB2312"/>
          <w:b w:val="0"/>
          <w:bCs w:val="0"/>
          <w:color w:val="000000" w:themeColor="text1"/>
          <w:sz w:val="32"/>
          <w:szCs w:val="32"/>
          <w14:textFill>
            <w14:solidFill>
              <w14:schemeClr w14:val="tx1"/>
            </w14:solidFill>
          </w14:textFill>
        </w:rPr>
        <w:t>工作计划，开展合规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初审</w:t>
      </w:r>
      <w:r>
        <w:rPr>
          <w:rFonts w:hint="eastAsia" w:ascii="仿宋_GB2312" w:hAnsi="仿宋_GB2312" w:eastAsia="仿宋_GB2312" w:cs="仿宋_GB2312"/>
          <w:b w:val="0"/>
          <w:bCs w:val="0"/>
          <w:color w:val="000000" w:themeColor="text1"/>
          <w:sz w:val="32"/>
          <w:szCs w:val="32"/>
          <w14:textFill>
            <w14:solidFill>
              <w14:schemeClr w14:val="tx1"/>
            </w14:solidFill>
          </w14:textFill>
        </w:rPr>
        <w:t>，报市医保局备案后，将备案结果反馈区（市）；未备案计划不得作为遴选依据。②组织连锁</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居家护理</w:t>
      </w:r>
      <w:r>
        <w:rPr>
          <w:rFonts w:hint="eastAsia" w:ascii="仿宋_GB2312" w:hAnsi="仿宋_GB2312" w:eastAsia="仿宋_GB2312" w:cs="仿宋_GB2312"/>
          <w:b w:val="0"/>
          <w:bCs w:val="0"/>
          <w:color w:val="000000" w:themeColor="text1"/>
          <w:sz w:val="32"/>
          <w:szCs w:val="32"/>
          <w14:textFill>
            <w14:solidFill>
              <w14:schemeClr w14:val="tx1"/>
            </w14:solidFill>
          </w14:textFill>
        </w:rPr>
        <w:t>机构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准入</w:t>
      </w:r>
      <w:r>
        <w:rPr>
          <w:rFonts w:hint="eastAsia" w:ascii="仿宋_GB2312" w:hAnsi="仿宋_GB2312" w:eastAsia="仿宋_GB2312" w:cs="仿宋_GB2312"/>
          <w:b w:val="0"/>
          <w:bCs w:val="0"/>
          <w:color w:val="000000" w:themeColor="text1"/>
          <w:sz w:val="32"/>
          <w:szCs w:val="32"/>
          <w14:textFill>
            <w14:solidFill>
              <w14:schemeClr w14:val="tx1"/>
            </w14:solidFill>
          </w14:textFill>
        </w:rPr>
        <w:t>评审，开展数据统计、阈值校准，组织年度规划评估。③运维智慧监测评估体系，依托长护智慧监管平台完成床位、饱和度指标自动校验。④监测触发风险预警后，向市医保局、相关区（市）推送风险提示。</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3.区（市）医保部门</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①严格执行规划，片区判定供给过剩的，严禁变通准入市场化运营机构新增定点、床位扩容。②确需调整居家护理调控额度的，组织专项评估后书面报市医保局审批。③监督本级经办机构业务落地；联合卫健</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部门</w:t>
      </w:r>
      <w:r>
        <w:rPr>
          <w:rFonts w:hint="eastAsia" w:ascii="仿宋_GB2312" w:hAnsi="仿宋_GB2312" w:eastAsia="仿宋_GB2312" w:cs="仿宋_GB2312"/>
          <w:b w:val="0"/>
          <w:bCs w:val="0"/>
          <w:color w:val="000000" w:themeColor="text1"/>
          <w:sz w:val="32"/>
          <w:szCs w:val="32"/>
          <w14:textFill>
            <w14:solidFill>
              <w14:schemeClr w14:val="tx1"/>
            </w14:solidFill>
          </w14:textFill>
        </w:rPr>
        <w:t>推进基层服务标准化；重大运行风险及时上报市医保局。</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4.区（市）医保经办机构</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①结合辖区额度、片区供需研判，编制年度工作计划，经本区（市）医保局审核后上报市医保经办机构申请备案。②严格按照市级备案计划，开展定点受理、村级延伸点备案、材料核验及现场核查。③常态化监测床位、点位饱和度、机构绩效；对低效、违规机构按协议开展核查、督促整改、核减床位乃至启动退出。④定期报送供需、效能、风险情况；发生重大风险第一时间同步报送本区（市）医保局、市医保经办机构。</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（二）监督考核</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建立全覆盖、差异化、绩效联动的考核体系。考核结果与定点协议续签、床位备案规模、新增准入优先权、评优评先直接挂钩。供给饱和片区优先清退低效、履约失信机构。将村级延伸点运行、双向转诊、服务质量、基金合规、群众满意度，纳入镇（街）卫生院长护核心考核指标，压实镇级主体责任。常态化开展抽查、智能风控排查，依法依规处置欺诈骗保行为，筑牢基金安全防线。</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（三）监测评估</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建立智慧闭环监测优化机制，监测指标包含机构数量、床位利用率、社区点位饱和度、村级延伸点合规率、市场化运营机构核定床位规模、</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市场化机构核定床位规模相对当期长护保险待遇享受总人数的预警参考比值</w:t>
      </w:r>
      <w:r>
        <w:rPr>
          <w:rFonts w:hint="eastAsia" w:ascii="仿宋_GB2312" w:hAnsi="仿宋_GB2312" w:eastAsia="仿宋_GB2312" w:cs="仿宋_GB2312"/>
          <w:b w:val="0"/>
          <w:bCs w:val="0"/>
          <w:color w:val="000000" w:themeColor="text1"/>
          <w:sz w:val="32"/>
          <w:szCs w:val="32"/>
          <w14:textFill>
            <w14:solidFill>
              <w14:schemeClr w14:val="tx1"/>
            </w14:solidFill>
          </w14:textFill>
        </w:rPr>
        <w:t>、单体床位分布、基金收支结余、服务响应时效、群众满意度、护理人才队伍建设等。达到风险预警参考值，立即启动专项精算评估，下发风险提示，从严研判新增定点。定期校准管控阈值。2028年末开展规划全面复盘评估，结合老龄化、失能结构、基金运行及上级政策，评估现行治理模式成效，研究是否增设硬性总量管控，修订正式版规划。</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六、附则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本规划自2027年1月1日起试行，有效期至2028年12月31日。</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国家、省出台新的长期护理保险定点资源配置政策的，按照新规定执行。市医保局可根据全市基金运行形势、人口失能结构变化、区域供需格局、上级政策更新，</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按照行政规范性文件程序，动态优化调整本规划管控规则、准入标准和资源配置机制</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本规划由枣庄市医疗保障局负责解释。</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附件</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连锁居家护理机构认定标准</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1.术语定义</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本规划所称连锁居家护理机构，指同一法人设立多个居家护理站点，或国内集团总部控股本市独立法人子公司，由总部实施实质性统一运营管控，执行统一服务标准、统一质控体系、统一智慧管理平台，从事居家长期护理服务的机构。仅品牌授权、特许加盟，无总部实质管控的机构，不予认定。</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2.基本认定条件</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2.1主体与股权</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情形一（同法人直营）：同一法人，在本市设立≥3个居家护理服务站点（分支机构）。</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情形二（集团控股本地独立法人子公司）：国内集团母公司持股≥51%控股本市子公司；集团在国内其他地市拥有≥2个正常运营的居家护理服务主体，具备跨区域连锁运营能力。</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本市站点证照齐全、在有效期内，主营业务为居家长期护理服务，无经营异常记录。</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2.2统一运营管控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统一服务标准：总部制定统一居家护理评估、服务、投诉、风险处置制度，全部站点一体执行；总部定期开展质控巡检，留存完整巡检台账。</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统一人员管理：总部统一制定招聘、培训、考核制度；护理人员档案由集团统一管理；用工合同、社保可由本地子公司办理。</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统一信息平台：使用集团一体化智慧护理管理系统，实现订单、上门轨迹、护理记录集中管理，可与本市长护智慧监管平台对接。</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统一应急处置：集团制定统一上门护理应急方案，建立医疗应急协作机制。</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2.3人员能力要求</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连锁体系专职居家护理人员（</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健康照护师</w:t>
      </w:r>
      <w:r>
        <w:rPr>
          <w:rFonts w:hint="eastAsia" w:ascii="仿宋_GB2312" w:hAnsi="仿宋_GB2312" w:eastAsia="仿宋_GB2312" w:cs="仿宋_GB2312"/>
          <w:b w:val="0"/>
          <w:bCs w:val="0"/>
          <w:color w:val="000000" w:themeColor="text1"/>
          <w:sz w:val="32"/>
          <w:szCs w:val="32"/>
          <w14:textFill>
            <w14:solidFill>
              <w14:schemeClr w14:val="tx1"/>
            </w14:solidFill>
          </w14:textFill>
        </w:rPr>
        <w:t>/长期照护师）不少于15人，设置长护业务专项管理岗位。</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3.一票否决情形</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存在下列情形之一的，不予认定；已取得认定的，撤销连锁认定资格：</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近3年内，集团总部或本市服务主体存在医保基金重大违规、欺诈骗保处罚记录；</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集团总部或本市服务主体被列入失信被执行人、重大税收违法失信主体；</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申报材料存在弄虚作假；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仅为品牌授权、特许加盟，不存在总部实质性运营管控。</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4.申报提交材料清单</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集团总部、本市服务主体营业执照；股权证明、公司章程（控股子公司需提供）；</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集团对子公司的运营管控协议，明确总部统一质控、标准、培训、信息平台管理权限；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集团外地其他连锁站点的证照、运营佐证材料；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统一的服务制度、质控巡检台账样本；</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护理人员花名册、资质证书、用工材料；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智慧护理平台功能介绍、平台对接方案；</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集团及本市主体医保合规、信用承诺书。</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5.认定、复核与动态管理</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认定组织：由市医保经办机构组织专项评审核验，认定结果按规定公示。</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认定效力：取得连锁认定资格，仅获得市级专项准入通道申报资格，不豁免定点准入现场核查、评审、公示、协议签约全套流程。连锁认定不等于取得长护定点资格。</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动态复核：认定资格周期与定点协议周期保持一致。发生股权重大变更、网点关停、总部管控体系失效、触发一票否决事项，市医保经办机构可启动复核，撤销连锁认定资格。</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机构应当按要求定期报送运营材料，配合复核、质控核查。</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firstLine="640" w:firstLineChars="200"/>
        <w:jc w:val="both"/>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A1BFC"/>
    <w:rsid w:val="014B4F11"/>
    <w:rsid w:val="02C21056"/>
    <w:rsid w:val="04370231"/>
    <w:rsid w:val="102D3DB3"/>
    <w:rsid w:val="12732BB7"/>
    <w:rsid w:val="12897230"/>
    <w:rsid w:val="18877806"/>
    <w:rsid w:val="1B5437FC"/>
    <w:rsid w:val="1F03441D"/>
    <w:rsid w:val="24DB3BC4"/>
    <w:rsid w:val="25406175"/>
    <w:rsid w:val="2C506C46"/>
    <w:rsid w:val="2E0229B1"/>
    <w:rsid w:val="304A13BD"/>
    <w:rsid w:val="31AC02D1"/>
    <w:rsid w:val="345D2478"/>
    <w:rsid w:val="39FA1BFC"/>
    <w:rsid w:val="3D441908"/>
    <w:rsid w:val="3D5D11C3"/>
    <w:rsid w:val="41B63641"/>
    <w:rsid w:val="41CC7DEA"/>
    <w:rsid w:val="42A775E0"/>
    <w:rsid w:val="448F69DC"/>
    <w:rsid w:val="487A7E33"/>
    <w:rsid w:val="4880045B"/>
    <w:rsid w:val="49DC7913"/>
    <w:rsid w:val="4B4F3BE2"/>
    <w:rsid w:val="4DBF0D2C"/>
    <w:rsid w:val="52741030"/>
    <w:rsid w:val="55C16429"/>
    <w:rsid w:val="576C4A46"/>
    <w:rsid w:val="586176DE"/>
    <w:rsid w:val="5BA67D81"/>
    <w:rsid w:val="5BC06C66"/>
    <w:rsid w:val="69B40C8F"/>
    <w:rsid w:val="69FA5E67"/>
    <w:rsid w:val="6E461758"/>
    <w:rsid w:val="6FED137C"/>
    <w:rsid w:val="714D50EA"/>
    <w:rsid w:val="748051BB"/>
    <w:rsid w:val="78A00C25"/>
    <w:rsid w:val="7D707D59"/>
    <w:rsid w:val="FFF71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8279</Words>
  <Characters>8375</Characters>
  <Lines>0</Lines>
  <Paragraphs>0</Paragraphs>
  <TotalTime>47</TotalTime>
  <ScaleCrop>false</ScaleCrop>
  <LinksUpToDate>false</LinksUpToDate>
  <CharactersWithSpaces>8375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2026-10-08T10:15:00Z</dcterms:created>
  <dc:creator>张建军</dc:creator>
  <cp:lastModifiedBy>user</cp:lastModifiedBy>
  <cp:lastPrinted>2026-10-08T10:58:00Z</cp:lastPrinted>
  <dcterms:modified xsi:type="dcterms:W3CDTF">2026-10-10T09:32:44Z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412932AED96841D1B23B754A615EA24A_11</vt:lpwstr>
  </property>
  <property fmtid="{D5CDD505-2E9C-101B-9397-08002B2CF9AE}" pid="4" name="KSOTemplateDocerSaveRecord">
    <vt:lpwstr>eyJoZGlkIjoiMzVkZmRlMmUwZTQ2ZTk5NTBjODRiNmUxMTJjY2JlMDMiLCJ1c2VySWQiOiI1MDAxMDMxNzQifQ==</vt:lpwstr>
  </property>
</Properties>
</file>