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DBE47">
      <w:pPr>
        <w:pStyle w:val="16"/>
        <w:rPr>
          <w:rFonts w:hint="default"/>
          <w:lang w:val="en-US"/>
        </w:rPr>
      </w:pPr>
      <mc:AlternateContent>
        <mc:Choice Requires="wpsCustomData">
          <wpsCustomData:docfieldStart id="0" docfieldname="标题_1" hidden="0" print="1" readonly="0" index="6"/>
        </mc:Choice>
      </mc:AlternateContent>
      <w:bookmarkStart w:id="0" w:name="heading_0"/>
      <w:r>
        <w:t>枣庄市</w:t>
      </w:r>
      <w:r>
        <w:rPr>
          <w:rFonts w:hint="eastAsia"/>
          <w:lang w:val="en-US" w:eastAsia="zh-CN"/>
        </w:rPr>
        <w:t>医疗保障待遇标准</w:t>
      </w:r>
      <w:bookmarkEnd w:id="0"/>
    </w:p>
    <mc:AlternateContent>
      <mc:Choice Requires="wpsCustomData">
        <wpsCustomData:docfieldEnd id="0"/>
      </mc:Choice>
    </mc:AlternateContent>
    <w:p w14:paraId="47384958">
      <w:pPr>
        <w:pStyle w:val="21"/>
        <w:numPr>
          <w:ilvl w:val="0"/>
          <w:numId w:val="0"/>
        </w:numPr>
        <w:ind w:leftChars="0"/>
        <w:jc w:val="center"/>
        <w:rPr>
          <w:rFonts w:hint="eastAsia" w:ascii="方正黑体_GBK" w:hAnsi="方正黑体_GBK" w:eastAsia="方正黑体_GBK" w:cs="方正黑体_GBK"/>
          <w:b w:val="0"/>
        </w:rPr>
      </w:pPr>
      <w:bookmarkStart w:id="1" w:name="heading_1"/>
      <w:bookmarkStart w:id="2" w:name="_GoBack"/>
      <w:bookmarkEnd w:id="2"/>
      <w:r>
        <w:rPr>
          <w:rFonts w:hint="eastAsia" w:ascii="方正黑体_GBK" w:hAnsi="方正黑体_GBK" w:eastAsia="方正黑体_GBK" w:cs="方正黑体_GBK"/>
          <w:lang w:val="en-US" w:eastAsia="zh-CN"/>
        </w:rPr>
        <w:t xml:space="preserve">第一章  </w:t>
      </w:r>
      <w:r>
        <w:rPr>
          <w:rFonts w:hint="eastAsia" w:ascii="方正黑体_GBK" w:hAnsi="方正黑体_GBK" w:eastAsia="方正黑体_GBK" w:cs="方正黑体_GBK"/>
        </w:rPr>
        <w:t>总则</w:t>
      </w:r>
      <w:bookmarkEnd w:id="1"/>
    </w:p>
    <w:p w14:paraId="50D5EC0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mc:AlternateContent>
        <mc:Choice Requires="wpsCustomData">
          <wpsCustomData:docfieldStart id="1" docfieldname="附件说明_1" hidden="0" print="1" readonly="0" index="7"/>
        </mc:Choice>
      </mc:AlternateContent>
      <w:r>
        <w:rPr>
          <w:rFonts w:hint="eastAsia" w:ascii="方正黑体_GBK" w:hAnsi="方正黑体_GBK" w:eastAsia="方正黑体_GBK" w:cs="方正黑体_GBK"/>
          <w:spacing w:val="-6"/>
          <w:kern w:val="0"/>
          <w:sz w:val="32"/>
          <w:szCs w:val="32"/>
        </w:rPr>
        <w:t>一、制定依据</w:t>
      </w:r>
    </w:p>
    <w:p w14:paraId="19ED892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为规范全市基本医疗保险、补充医疗保险、医疗救助、生育保险、长期护理保险等待遇保障标准，健全覆盖全民、城乡统筹、多层次、可持续的医疗保障体系，统一经办执行口径，保障参保人员合法医疗保障权益，依据《中华人民共和国社会保险法》《关于建立医疗保障待遇清单制度的意见》（医保发〔2021〕5号）、《关于建立医疗保障待遇清单制度的实施意见》（鲁医保发〔2021〕43号）等国家、省级法规政策，结合枣庄市实际，编制本待遇标准。</w:t>
      </w:r>
    </w:p>
    <w:p w14:paraId="54FE749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二、适用范围</w:t>
      </w:r>
    </w:p>
    <w:p w14:paraId="0DC4F68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本标准适用于枣庄市职工基本医疗保险、城乡居民基本医疗保险参保人员，同步规范职工大额医疗费用补助（职工大病保险）、城乡居民大病保险、医疗救助、生育保险、长期护理保险相</w:t>
      </w:r>
      <w:r>
        <w:rPr>
          <w:rFonts w:hint="eastAsia" w:ascii="仿宋_GB2312" w:hAnsi="仿宋_GB2312" w:eastAsia="仿宋_GB2312" w:cs="仿宋_GB2312"/>
          <w:spacing wpsCustomData:val="-6" w:val="10"/>
          <w:kern w:val="0"/>
          <w:sz w:val="32"/>
          <w:szCs w:val="32"/>
        </w:rPr>
        <w:t>关待遇</w:t>
      </w:r>
      <w:r>
        <w:rPr>
          <w:rFonts w:hint="eastAsia" w:ascii="仿宋_GB2312" w:hAnsi="仿宋_GB2312" w:eastAsia="仿宋_GB2312" w:cs="仿宋_GB2312"/>
          <w:spacing wpsCustomData:val="-6" w:val="11"/>
          <w:kern w:val="0"/>
          <w:sz w:val="32"/>
          <w:szCs w:val="32"/>
        </w:rPr>
        <w:t>。</w:t>
      </w:r>
      <w:r>
        <w:rPr>
          <w:rFonts w:hint="eastAsia" w:ascii="仿宋_GB2312" w:hAnsi="仿宋_GB2312" w:eastAsia="仿宋_GB2312" w:cs="仿宋_GB2312"/>
          <w:spacing wpsCustomData:val="-6" w:val="10"/>
          <w:kern w:val="0"/>
          <w:sz w:val="32"/>
          <w:szCs w:val="32"/>
        </w:rPr>
        <w:t>全市各级医保经办机构</w:t>
      </w:r>
      <w:r>
        <w:rPr>
          <w:rFonts w:hint="eastAsia" w:ascii="仿宋_GB2312" w:hAnsi="仿宋_GB2312" w:eastAsia="仿宋_GB2312" w:cs="仿宋_GB2312"/>
          <w:spacing wpsCustomData:val="-6" w:val="11"/>
          <w:kern w:val="0"/>
          <w:sz w:val="32"/>
          <w:szCs w:val="32"/>
        </w:rPr>
        <w:t>、</w:t>
      </w:r>
      <w:r>
        <w:rPr>
          <w:rFonts w:hint="eastAsia" w:ascii="仿宋_GB2312" w:hAnsi="仿宋_GB2312" w:eastAsia="仿宋_GB2312" w:cs="仿宋_GB2312"/>
          <w:spacing wpsCustomData:val="-6" w:val="10"/>
          <w:kern w:val="0"/>
          <w:sz w:val="32"/>
          <w:szCs w:val="32"/>
        </w:rPr>
        <w:t>定点医药机构统一遵</w:t>
      </w:r>
      <w:r>
        <w:rPr>
          <w:rFonts w:hint="eastAsia" w:ascii="仿宋_GB2312" w:hAnsi="仿宋_GB2312" w:eastAsia="仿宋_GB2312" w:cs="仿宋_GB2312"/>
          <w:spacing wpsCustomData:val="-6" w:val="-6"/>
          <w:kern w:val="0"/>
          <w:sz w:val="32"/>
          <w:szCs w:val="32"/>
        </w:rPr>
        <w:t>照</w:t>
      </w:r>
      <w:r>
        <w:rPr>
          <w:rFonts w:hint="eastAsia" w:ascii="仿宋_GB2312" w:hAnsi="仿宋_GB2312" w:eastAsia="仿宋_GB2312" w:cs="仿宋_GB2312"/>
          <w:spacing w:val="-6"/>
          <w:kern w:val="0"/>
          <w:sz w:val="32"/>
          <w:szCs w:val="32"/>
        </w:rPr>
        <w:t>执行。</w:t>
      </w:r>
    </w:p>
    <w:p w14:paraId="2FF3080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三、核心定义</w:t>
      </w:r>
    </w:p>
    <w:p w14:paraId="133D7322">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b/>
          <w:bCs/>
          <w:spacing w:val="-6"/>
          <w:kern w:val="0"/>
          <w:sz w:val="32"/>
          <w:szCs w:val="32"/>
        </w:rPr>
        <w:t>政策范围内医疗费用：</w:t>
      </w:r>
      <w:r>
        <w:rPr>
          <w:rFonts w:hint="eastAsia" w:ascii="仿宋_GB2312" w:hAnsi="仿宋_GB2312" w:eastAsia="仿宋_GB2312" w:cs="仿宋_GB2312"/>
          <w:spacing w:val="-6"/>
          <w:kern w:val="0"/>
          <w:sz w:val="32"/>
          <w:szCs w:val="32"/>
        </w:rPr>
        <w:t>是参保人在定点医疗机构发生、纳入医保统筹报销核算基数的合规医疗费用。须同时符合：所用药品、耗材、诊疗项目在国家及省医保“三大目录”内，临床使用符合</w:t>
      </w:r>
      <w:r>
        <w:rPr>
          <w:rFonts w:hint="eastAsia" w:ascii="仿宋_GB2312" w:hAnsi="仿宋_GB2312" w:cs="仿宋_GB2312"/>
          <w:spacing w:val="-6"/>
          <w:kern w:val="0"/>
          <w:sz w:val="32"/>
          <w:szCs w:val="32"/>
          <w:lang w:val="en-US" w:eastAsia="zh-CN"/>
        </w:rPr>
        <w:t>法定</w:t>
      </w:r>
      <w:r>
        <w:rPr>
          <w:rFonts w:hint="eastAsia" w:ascii="仿宋_GB2312" w:hAnsi="仿宋_GB2312" w:eastAsia="仿宋_GB2312" w:cs="仿宋_GB2312"/>
          <w:spacing w:val="-6"/>
          <w:kern w:val="0"/>
          <w:sz w:val="32"/>
          <w:szCs w:val="32"/>
        </w:rPr>
        <w:t>适应症</w:t>
      </w:r>
      <w:r>
        <w:rPr>
          <w:rFonts w:hint="eastAsia" w:ascii="仿宋_GB2312" w:hAnsi="仿宋_GB2312" w:cs="仿宋_GB2312"/>
          <w:spacing w:val="-6"/>
          <w:kern w:val="0"/>
          <w:sz w:val="32"/>
          <w:szCs w:val="32"/>
          <w:lang w:val="en-US" w:eastAsia="zh-CN"/>
        </w:rPr>
        <w:t>及医保限定支付范围和</w:t>
      </w:r>
      <w:r>
        <w:rPr>
          <w:rFonts w:hint="eastAsia" w:ascii="仿宋_GB2312" w:hAnsi="仿宋_GB2312" w:eastAsia="仿宋_GB2312" w:cs="仿宋_GB2312"/>
          <w:spacing w:val="-6"/>
          <w:kern w:val="0"/>
          <w:sz w:val="32"/>
          <w:szCs w:val="32"/>
        </w:rPr>
        <w:t>诊疗规范；剔除</w:t>
      </w:r>
      <w:r>
        <w:rPr>
          <w:rFonts w:hint="eastAsia" w:ascii="仿宋_GB2312" w:hAnsi="仿宋_GB2312" w:cs="仿宋_GB2312"/>
          <w:spacing w:val="-6"/>
          <w:kern w:val="0"/>
          <w:sz w:val="32"/>
          <w:szCs w:val="32"/>
          <w:lang w:val="en-US" w:eastAsia="zh-CN"/>
        </w:rPr>
        <w:t>乙类</w:t>
      </w:r>
      <w:r>
        <w:rPr>
          <w:rFonts w:hint="eastAsia" w:ascii="仿宋_GB2312" w:hAnsi="仿宋_GB2312" w:eastAsia="仿宋_GB2312" w:cs="仿宋_GB2312"/>
          <w:spacing w:val="-6"/>
          <w:kern w:val="0"/>
          <w:sz w:val="32"/>
          <w:szCs w:val="32"/>
        </w:rPr>
        <w:t>先行自付</w:t>
      </w:r>
      <w:r>
        <w:rPr>
          <w:rFonts w:hint="eastAsia" w:ascii="仿宋_GB2312" w:hAnsi="仿宋_GB2312" w:cs="仿宋_GB2312"/>
          <w:spacing w:val="-6"/>
          <w:kern w:val="0"/>
          <w:sz w:val="32"/>
          <w:szCs w:val="32"/>
          <w:lang w:val="en-US" w:eastAsia="zh-CN"/>
        </w:rPr>
        <w:t>部分</w:t>
      </w:r>
      <w:r>
        <w:rPr>
          <w:rFonts w:hint="eastAsia" w:ascii="仿宋_GB2312" w:hAnsi="仿宋_GB2312" w:eastAsia="仿宋_GB2312" w:cs="仿宋_GB2312"/>
          <w:spacing w:val="-6"/>
          <w:kern w:val="0"/>
          <w:sz w:val="32"/>
          <w:szCs w:val="32"/>
        </w:rPr>
        <w:t>、</w:t>
      </w:r>
      <w:r>
        <w:rPr>
          <w:rFonts w:hint="eastAsia" w:ascii="仿宋_GB2312" w:hAnsi="仿宋_GB2312" w:cs="仿宋_GB2312"/>
          <w:spacing w:val="-6"/>
          <w:kern w:val="0"/>
          <w:sz w:val="32"/>
          <w:szCs w:val="32"/>
          <w:lang w:val="en-US" w:eastAsia="zh-CN"/>
        </w:rPr>
        <w:t>超</w:t>
      </w:r>
      <w:r>
        <w:rPr>
          <w:rFonts w:hint="eastAsia" w:ascii="仿宋_GB2312" w:hAnsi="仿宋_GB2312" w:eastAsia="仿宋_GB2312" w:cs="仿宋_GB2312"/>
          <w:spacing w:val="-6"/>
          <w:kern w:val="0"/>
          <w:sz w:val="32"/>
          <w:szCs w:val="32"/>
        </w:rPr>
        <w:t>支付标准费用</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异地就医降比例先行自付</w:t>
      </w:r>
      <w:r>
        <w:rPr>
          <w:rFonts w:hint="eastAsia" w:ascii="仿宋_GB2312" w:hAnsi="仿宋_GB2312" w:cs="仿宋_GB2312"/>
          <w:spacing w:val="-6"/>
          <w:kern w:val="0"/>
          <w:sz w:val="32"/>
          <w:szCs w:val="32"/>
          <w:lang w:val="en-US" w:eastAsia="zh-CN"/>
        </w:rPr>
        <w:t>费用后的合规医疗费用总额。</w:t>
      </w:r>
    </w:p>
    <w:p w14:paraId="36D4BD42">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b/>
          <w:bCs/>
          <w:spacing w:val="-6"/>
          <w:kern w:val="0"/>
          <w:sz w:val="32"/>
          <w:szCs w:val="32"/>
        </w:rPr>
        <w:t>起付标准：</w:t>
      </w:r>
      <w:r>
        <w:rPr>
          <w:rFonts w:hint="eastAsia" w:ascii="仿宋_GB2312" w:hAnsi="仿宋_GB2312" w:eastAsia="仿宋_GB2312" w:cs="仿宋_GB2312"/>
          <w:spacing w:val="-6"/>
          <w:kern w:val="0"/>
          <w:sz w:val="32"/>
          <w:szCs w:val="32"/>
        </w:rPr>
        <w:t>统筹基金支付前，需由参保人员个人先行承担的年度累计</w:t>
      </w:r>
      <w:r>
        <w:rPr>
          <w:rFonts w:hint="eastAsia" w:ascii="仿宋_GB2312" w:hAnsi="仿宋_GB2312" w:cs="仿宋_GB2312"/>
          <w:spacing w:val="-6"/>
          <w:kern w:val="0"/>
          <w:sz w:val="32"/>
          <w:szCs w:val="32"/>
          <w:lang w:val="en-US" w:eastAsia="zh-CN"/>
        </w:rPr>
        <w:t>合规</w:t>
      </w:r>
      <w:r>
        <w:rPr>
          <w:rFonts w:hint="eastAsia" w:ascii="仿宋_GB2312" w:hAnsi="仿宋_GB2312" w:eastAsia="仿宋_GB2312" w:cs="仿宋_GB2312"/>
          <w:spacing w:val="-6"/>
          <w:kern w:val="0"/>
          <w:sz w:val="32"/>
          <w:szCs w:val="32"/>
        </w:rPr>
        <w:t>医疗费用门槛。</w:t>
      </w:r>
    </w:p>
    <w:p w14:paraId="1979423F">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b/>
          <w:bCs/>
          <w:spacing w:val="-6"/>
          <w:kern w:val="0"/>
          <w:sz w:val="32"/>
          <w:szCs w:val="32"/>
        </w:rPr>
        <w:t>视同缴费年限：</w:t>
      </w:r>
      <w:r>
        <w:rPr>
          <w:rFonts w:hint="eastAsia" w:ascii="仿宋_GB2312" w:hAnsi="仿宋_GB2312" w:eastAsia="仿宋_GB2312" w:cs="仿宋_GB2312"/>
          <w:spacing w:val="-6"/>
          <w:kern w:val="0"/>
          <w:sz w:val="32"/>
          <w:szCs w:val="32"/>
        </w:rPr>
        <w:t>符合国家、省规定可折算计入职工医保累计缴费年限的连续工龄、服役年限、居民医保折算年限等，不计入实际缴费年限。</w:t>
      </w:r>
    </w:p>
    <w:p w14:paraId="3AC1B54B">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b/>
          <w:bCs/>
          <w:spacing w:val="-6"/>
          <w:kern w:val="0"/>
          <w:sz w:val="32"/>
          <w:szCs w:val="32"/>
        </w:rPr>
        <w:t>门诊慢特病：</w:t>
      </w:r>
      <w:r>
        <w:rPr>
          <w:rFonts w:hint="eastAsia" w:ascii="仿宋_GB2312" w:hAnsi="仿宋_GB2312" w:eastAsia="仿宋_GB2312" w:cs="仿宋_GB2312"/>
          <w:spacing w:val="-6"/>
          <w:kern w:val="0"/>
          <w:sz w:val="32"/>
          <w:szCs w:val="32"/>
        </w:rPr>
        <w:t>经医保经办机构认定，需长期门诊持续治疗，纳入统筹基金专项保障的慢性病、特殊疾病，分基本病种、单独支付病种两类管理。</w:t>
      </w:r>
    </w:p>
    <w:p w14:paraId="32D391BC">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b/>
          <w:bCs/>
          <w:spacing w:val="-6"/>
          <w:kern w:val="0"/>
          <w:sz w:val="32"/>
          <w:szCs w:val="32"/>
        </w:rPr>
        <w:t>个人账户家庭共济：</w:t>
      </w:r>
      <w:r>
        <w:rPr>
          <w:rFonts w:hint="eastAsia" w:ascii="仿宋_GB2312" w:hAnsi="仿宋_GB2312" w:eastAsia="仿宋_GB2312" w:cs="仿宋_GB2312"/>
          <w:spacing w:val="-6"/>
          <w:kern w:val="0"/>
          <w:sz w:val="32"/>
          <w:szCs w:val="32"/>
        </w:rPr>
        <w:t>职工医保个人账户资金可经医保线上服务平台或线下经办窗口备案授权本人</w:t>
      </w:r>
      <w:r>
        <w:rPr>
          <w:rFonts w:hint="eastAsia" w:ascii="仿宋_GB2312" w:hAnsi="仿宋_GB2312" w:cs="仿宋_GB2312"/>
          <w:spacing w:val="-6"/>
          <w:kern w:val="0"/>
          <w:sz w:val="32"/>
          <w:szCs w:val="32"/>
          <w:lang w:val="en-US" w:eastAsia="zh-CN"/>
        </w:rPr>
        <w:t>参保</w:t>
      </w:r>
      <w:r>
        <w:rPr>
          <w:rFonts w:hint="eastAsia" w:ascii="仿宋_GB2312" w:hAnsi="仿宋_GB2312" w:eastAsia="仿宋_GB2312" w:cs="仿宋_GB2312"/>
          <w:spacing w:val="-6"/>
          <w:kern w:val="0"/>
          <w:sz w:val="32"/>
          <w:szCs w:val="32"/>
        </w:rPr>
        <w:t>近亲属（配偶、父母、子女、兄弟姐妹、祖父母、外祖父母、孙子女、外孙子女）使用，用于合规医药自付费用、居民医保、长期护理保险、惠民保个人缴费；共济仅共享个人账户资金使用权，双方统筹报销资格相互独立，报销待遇不跨人转移、不共用。</w:t>
      </w:r>
    </w:p>
    <w:p w14:paraId="34D2F87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四、通用规则</w:t>
      </w:r>
    </w:p>
    <w:p w14:paraId="5AD84BD1">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全市统一执行国家、省医保“三大目录”，除上级明确授权外，不得自行增设支付项目、调整支付限定；本文件第九章负面清单所列药品、耗材、医疗服务项目及个人账户禁止支出项目，各类医保基金、个人账户一律不予支付。</w:t>
      </w:r>
    </w:p>
    <w:p w14:paraId="2602EBC9">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各类医保待遇按自然年度独立核算，年度支付限额不得跨年度结转；起付标准、报销比例按当年政策执行。</w:t>
      </w:r>
    </w:p>
    <w:p w14:paraId="0621791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参保人员不得同时重复参加职工基本医疗保险、城乡居民基本医疗保险。重复参保期间仅可享受一类医保待遇，重复缴费不重复报销。</w:t>
      </w:r>
    </w:p>
    <w:p w14:paraId="521F3A2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同一自然年度内，居民医保向职工医保跨制度转换的，自缴纳职工医保费用次月起享受职工医保待遇，职工医保住院起付标准重新计算。参保人员当年度居民医保已发生的基本医保、大病保险基金支付金额，合并计入参保人员自然年度内医保基金累计支付总额，不给予职工医保完整的年度最高支付限额，职工医保可使用额度为职工医保年度最高支付限额扣减当年度已发生的居民医保基金支付金额后的剩余额度。职工医保与居民医保有对应病种的门诊慢特病资格予以平移保留；慢特病起付标准、报销比例执行转换后的职工医保标准；当年居民医保慢特病已使用的基金额度予以累计、不重置清零，慢特病年度最高支付限额执行职工医保标准。住院期间办理居民医保转职工医保的，本次住院统一按入院时的居民医保险种整体结算，不实行分段结算，不执行职工医保报销待遇。</w:t>
      </w:r>
    </w:p>
    <w:p w14:paraId="452F6B6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同一自然年度内，职工医保向居民医保跨制度转换的，缴纳居民医保费用后按</w:t>
      </w:r>
      <w:r>
        <w:rPr>
          <w:rFonts w:hint="eastAsia" w:ascii="仿宋_GB2312" w:hAnsi="仿宋_GB2312" w:cs="仿宋_GB2312"/>
          <w:spacing w:val="-6"/>
          <w:kern w:val="0"/>
          <w:sz w:val="32"/>
          <w:szCs w:val="32"/>
          <w:lang w:val="en-US" w:eastAsia="zh-CN"/>
        </w:rPr>
        <w:t>规定</w:t>
      </w:r>
      <w:r>
        <w:rPr>
          <w:rFonts w:hint="eastAsia" w:ascii="仿宋_GB2312" w:hAnsi="仿宋_GB2312" w:eastAsia="仿宋_GB2312" w:cs="仿宋_GB2312"/>
          <w:spacing w:val="-6"/>
          <w:kern w:val="0"/>
          <w:sz w:val="32"/>
          <w:szCs w:val="32"/>
        </w:rPr>
        <w:t>享受居民医保待遇，不再享受职工医保待遇，居民医保住院起付标准重新计算。参保人员当年度职工医保已发生的基本医保、大病保险基金支付金额，合并计入参保人员自然年度内医保基金累计支付总额，不给予居民医保完整的年度最高支付限额，居民医保可使用额度为居民医保年度最高支付限额扣减当年度已发生的职工医保基金支付金额后的剩余额度。职工医保与居民医保有对应病种的门诊慢特病资格予以平移保留；慢特病起付标准、报销比例执行转换后的居民医保标准；当年职工医保慢特病已使用的基金额度予以累计、不重置清零，慢特病年度最高支付限额执行居民医保标准。住院期间办理职工医保转居民医保的，本次住院统一按入院时的职工医保险种整体结算，不实行分段结算，不执行居民医保报销待遇。职工医保个人账户余额予以保留可继续使用，职工医保缴费年限累计留存，后续转回职工医保时可接续计算退休医保缴费年限。</w:t>
      </w:r>
    </w:p>
    <w:p w14:paraId="4B8191BF">
      <w:pPr>
        <w:pStyle w:val="11"/>
        <w:pageBreakBefore w:val="0"/>
        <w:widowControl/>
        <w:numPr>
          <w:ilvl w:val="0"/>
          <w:numId w:val="0"/>
        </w:numPr>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第二章</w:t>
      </w:r>
      <w:r>
        <w:rPr>
          <w:rFonts w:hint="eastAsia" w:ascii="方正黑体_GBK" w:hAnsi="方正黑体_GBK" w:eastAsia="方正黑体_GBK" w:cs="方正黑体_GBK"/>
          <w:spacing w:val="-6"/>
          <w:kern w:val="0"/>
          <w:sz w:val="32"/>
          <w:szCs w:val="32"/>
          <w:lang w:val="en-US" w:eastAsia="zh-CN"/>
        </w:rPr>
        <w:t xml:space="preserve">  </w:t>
      </w:r>
      <w:r>
        <w:rPr>
          <w:rFonts w:hint="eastAsia" w:ascii="方正黑体_GBK" w:hAnsi="方正黑体_GBK" w:eastAsia="方正黑体_GBK" w:cs="方正黑体_GBK"/>
          <w:spacing w:val="-6"/>
          <w:kern w:val="0"/>
          <w:sz w:val="32"/>
          <w:szCs w:val="32"/>
        </w:rPr>
        <w:t>职工基本医疗保险待遇支付政策</w:t>
      </w:r>
    </w:p>
    <w:p w14:paraId="06CD2F5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一、参保缴费相关</w:t>
      </w:r>
    </w:p>
    <w:p w14:paraId="72009C42">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（一）参保范围</w:t>
      </w:r>
    </w:p>
    <w:p w14:paraId="06BCF30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市域内所有用人单位及其在职职工、退休人员；灵活就业人员可自愿参加职工医保。</w:t>
      </w:r>
    </w:p>
    <w:p w14:paraId="25E98BE7">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（二）医保缴费年限与退休待遇认定</w:t>
      </w:r>
    </w:p>
    <w:p w14:paraId="174F8F8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申请享受退休</w:t>
      </w:r>
      <w:r>
        <w:rPr>
          <w:rFonts w:hint="eastAsia" w:ascii="仿宋_GB2312" w:hAnsi="仿宋_GB2312" w:cs="仿宋_GB2312"/>
          <w:spacing w:val="-6"/>
          <w:kern w:val="0"/>
          <w:sz w:val="32"/>
          <w:szCs w:val="32"/>
          <w:lang w:val="en-US" w:eastAsia="zh-CN"/>
        </w:rPr>
        <w:t>人员</w:t>
      </w:r>
      <w:r>
        <w:rPr>
          <w:rFonts w:hint="eastAsia" w:ascii="仿宋_GB2312" w:hAnsi="仿宋_GB2312" w:eastAsia="仿宋_GB2312" w:cs="仿宋_GB2312"/>
          <w:spacing w:val="-6"/>
          <w:kern w:val="0"/>
          <w:sz w:val="32"/>
          <w:szCs w:val="32"/>
        </w:rPr>
        <w:t>医保待遇，累计缴费年限须男性满30年、女</w:t>
      </w:r>
      <w:r>
        <w:rPr>
          <w:rFonts w:hint="eastAsia" w:ascii="仿宋_GB2312" w:hAnsi="仿宋_GB2312" w:eastAsia="仿宋_GB2312" w:cs="仿宋_GB2312"/>
          <w:spacing wpsCustomData:val="-6" w:val="7"/>
          <w:kern w:val="0"/>
          <w:sz w:val="32"/>
          <w:szCs w:val="32"/>
        </w:rPr>
        <w:t>性满</w:t>
      </w:r>
      <w:r>
        <w:rPr>
          <w:rFonts w:hint="eastAsia" w:ascii="仿宋_GB2312" w:hAnsi="仿宋_GB2312" w:eastAsia="仿宋_GB2312" w:cs="仿宋_GB2312"/>
          <w:spacing wpsCustomData:val="-6" w:val="-6"/>
          <w:kern w:val="0"/>
          <w:sz w:val="32"/>
          <w:szCs w:val="32"/>
        </w:rPr>
        <w:t>2</w:t>
      </w:r>
      <w:r>
        <w:rPr>
          <w:rFonts w:hint="eastAsia" w:ascii="仿宋_GB2312" w:hAnsi="仿宋_GB2312" w:eastAsia="仿宋_GB2312" w:cs="仿宋_GB2312"/>
          <w:spacing wpsCustomData:val="-6" w:val="-32"/>
          <w:kern w:val="0"/>
          <w:sz w:val="32"/>
          <w:szCs w:val="32"/>
        </w:rPr>
        <w:t>5</w:t>
      </w:r>
      <w:r>
        <w:rPr>
          <w:rFonts w:hint="eastAsia" w:ascii="仿宋_GB2312" w:hAnsi="仿宋_GB2312" w:eastAsia="仿宋_GB2312" w:cs="仿宋_GB2312"/>
          <w:spacing wpsCustomData:val="-6" w:val="7"/>
          <w:kern w:val="0"/>
          <w:sz w:val="32"/>
          <w:szCs w:val="32"/>
        </w:rPr>
        <w:t>年（含视同缴费年限）</w:t>
      </w:r>
      <w:r>
        <w:rPr>
          <w:rFonts w:hint="eastAsia" w:ascii="仿宋_GB2312" w:hAnsi="仿宋_GB2312" w:eastAsia="仿宋_GB2312" w:cs="仿宋_GB2312"/>
          <w:spacing wpsCustomData:val="-6" w:val="8"/>
          <w:kern w:val="0"/>
          <w:sz w:val="32"/>
          <w:szCs w:val="32"/>
        </w:rPr>
        <w:t>，</w:t>
      </w:r>
      <w:r>
        <w:rPr>
          <w:rFonts w:hint="eastAsia" w:ascii="仿宋_GB2312" w:hAnsi="仿宋_GB2312" w:eastAsia="仿宋_GB2312" w:cs="仿宋_GB2312"/>
          <w:spacing wpsCustomData:val="-6" w:val="7"/>
          <w:kern w:val="0"/>
          <w:sz w:val="32"/>
          <w:szCs w:val="32"/>
        </w:rPr>
        <w:t>且实际缴费年限不得低</w:t>
      </w:r>
      <w:r>
        <w:rPr>
          <w:rFonts w:hint="eastAsia" w:ascii="仿宋_GB2312" w:hAnsi="仿宋_GB2312" w:eastAsia="仿宋_GB2312" w:cs="仿宋_GB2312"/>
          <w:spacing wpsCustomData:val="-6" w:val="-44"/>
          <w:kern w:val="0"/>
          <w:sz w:val="32"/>
          <w:szCs w:val="32"/>
        </w:rPr>
        <w:t>于</w:t>
      </w:r>
      <w:r>
        <w:rPr>
          <w:rFonts w:hint="eastAsia" w:ascii="仿宋_GB2312" w:hAnsi="仿宋_GB2312" w:eastAsia="仿宋_GB2312" w:cs="仿宋_GB2312"/>
          <w:spacing w:val="-6"/>
          <w:kern w:val="0"/>
          <w:sz w:val="32"/>
          <w:szCs w:val="32"/>
        </w:rPr>
        <w:t>10年。</w:t>
      </w:r>
    </w:p>
    <w:p w14:paraId="2561916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视同缴费年限认定口径：2000年12月（含）前符合国家、省规定的连续工龄、工作年限；军人服现役全部年限；随军未就业军人配偶医保缴费年限；未与职工医保参保时段重叠的</w:t>
      </w:r>
      <w:r>
        <w:rPr>
          <w:rFonts w:hint="eastAsia" w:ascii="仿宋_GB2312" w:hAnsi="仿宋_GB2312" w:cs="仿宋_GB2312"/>
          <w:spacing w:val="-6"/>
          <w:kern w:val="0"/>
          <w:sz w:val="32"/>
          <w:szCs w:val="32"/>
          <w:lang w:val="en-US" w:eastAsia="zh-CN"/>
        </w:rPr>
        <w:t>省内</w:t>
      </w:r>
      <w:r>
        <w:rPr>
          <w:rFonts w:hint="eastAsia" w:ascii="仿宋_GB2312" w:hAnsi="仿宋_GB2312" w:eastAsia="仿宋_GB2312" w:cs="仿宋_GB2312"/>
          <w:spacing w:val="-6"/>
          <w:kern w:val="0"/>
          <w:sz w:val="32"/>
          <w:szCs w:val="32"/>
        </w:rPr>
        <w:t>城乡居民医保缴费年限，按居民医保实际缴费2年折算1年职工医保视同缴费年限；单段居民医保缴费累计时长不足</w:t>
      </w:r>
      <w:r>
        <w:rPr>
          <w:rFonts w:hint="eastAsia" w:ascii="仿宋_GB2312" w:hAnsi="仿宋_GB2312" w:cs="仿宋_GB2312"/>
          <w:spacing w:val="-6"/>
          <w:kern w:val="0"/>
          <w:sz w:val="32"/>
          <w:szCs w:val="32"/>
          <w:lang w:val="en-US" w:eastAsia="zh-CN"/>
        </w:rPr>
        <w:t>1年</w:t>
      </w:r>
      <w:r>
        <w:rPr>
          <w:rFonts w:hint="eastAsia" w:ascii="仿宋_GB2312" w:hAnsi="仿宋_GB2312" w:eastAsia="仿宋_GB2312" w:cs="仿宋_GB2312"/>
          <w:spacing w:val="-6"/>
          <w:kern w:val="0"/>
          <w:sz w:val="32"/>
          <w:szCs w:val="32"/>
        </w:rPr>
        <w:t>的，该段缴费不参与折算；其他国家、省明确可认定的视同年限，认定流程参照养老保险、医保年限配套认定政策执行。</w:t>
      </w:r>
    </w:p>
    <w:p w14:paraId="7F4C4EB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灵活就业人员退休医保待遇年龄标准：仅参加职工医保、未参保养老保险，或参保养老保险但不满足养老金领取条件的灵活就业人员，达到男性60周岁、女性55周岁（以居民身份证登记年</w:t>
      </w:r>
      <w:r>
        <w:rPr>
          <w:rFonts w:hint="eastAsia" w:ascii="仿宋_GB2312" w:hAnsi="仿宋_GB2312" w:eastAsia="仿宋_GB2312" w:cs="仿宋_GB2312"/>
          <w:spacing wpsCustomData:val="-6" w:val="4"/>
          <w:kern w:val="0"/>
          <w:sz w:val="32"/>
          <w:szCs w:val="32"/>
        </w:rPr>
        <w:t>龄为准），且满足最低医保缴费年限，可申</w:t>
      </w:r>
      <w:r>
        <w:rPr>
          <w:rFonts w:hint="eastAsia" w:ascii="仿宋_GB2312" w:hAnsi="仿宋_GB2312" w:cs="仿宋_GB2312"/>
          <w:spacing wpsCustomData:val="-6" w:val="4"/>
          <w:kern w:val="0"/>
          <w:sz w:val="32"/>
          <w:szCs w:val="32"/>
          <w:lang w:val="en-US" w:eastAsia="zh-CN"/>
        </w:rPr>
        <w:t>请</w:t>
      </w:r>
      <w:r>
        <w:rPr>
          <w:rFonts w:hint="eastAsia" w:ascii="仿宋_GB2312" w:hAnsi="仿宋_GB2312" w:eastAsia="仿宋_GB2312" w:cs="仿宋_GB2312"/>
          <w:spacing wpsCustomData:val="-6" w:val="4"/>
          <w:kern w:val="0"/>
          <w:sz w:val="32"/>
          <w:szCs w:val="32"/>
        </w:rPr>
        <w:t>退休人员医</w:t>
      </w:r>
      <w:r>
        <w:rPr>
          <w:rFonts w:hint="eastAsia" w:ascii="仿宋_GB2312" w:hAnsi="仿宋_GB2312" w:eastAsia="仿宋_GB2312" w:cs="仿宋_GB2312"/>
          <w:spacing wpsCustomData:val="-6" w:val="-6"/>
          <w:kern w:val="0"/>
          <w:sz w:val="32"/>
          <w:szCs w:val="32"/>
        </w:rPr>
        <w:t>保</w:t>
      </w:r>
      <w:r>
        <w:rPr>
          <w:rFonts w:hint="eastAsia" w:ascii="仿宋_GB2312" w:hAnsi="仿宋_GB2312" w:eastAsia="仿宋_GB2312" w:cs="仿宋_GB2312"/>
          <w:spacing w:val="-6"/>
          <w:kern w:val="0"/>
          <w:sz w:val="32"/>
          <w:szCs w:val="32"/>
        </w:rPr>
        <w:t>待遇。</w:t>
      </w:r>
    </w:p>
    <w:p w14:paraId="6FAB99E0">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（三）达到退休年龄年限不足处置方式</w:t>
      </w:r>
    </w:p>
    <w:p w14:paraId="553B6E8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参保人员达到法定退休年龄，但未满足职工医保最低缴费年限，二选一执行。</w:t>
      </w:r>
    </w:p>
    <w:p w14:paraId="607A44C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一次性补缴：补缴标准按照补缴时山东省上年度全口径城镇单位就业人员月平均工资作为缴费基数，按4%比例补缴；缴费标准随省级政策同步调整；补缴资金全部计入统筹基金，不划入个人账户，</w:t>
      </w:r>
      <w:r>
        <w:rPr>
          <w:rFonts w:hint="eastAsia" w:ascii="仿宋_GB2312" w:hAnsi="仿宋_GB2312" w:eastAsia="仿宋_GB2312" w:cs="仿宋_GB2312"/>
          <w:spacing w:val="-6"/>
          <w:kern w:val="0"/>
          <w:sz w:val="32"/>
          <w:szCs w:val="32"/>
          <w:lang w:val="en-US" w:eastAsia="zh-CN"/>
        </w:rPr>
        <w:t>按规定一次性缴费后享受退休人员医保待遇</w:t>
      </w:r>
      <w:r>
        <w:rPr>
          <w:rFonts w:hint="eastAsia" w:ascii="仿宋_GB2312" w:hAnsi="仿宋_GB2312" w:eastAsia="仿宋_GB2312" w:cs="仿宋_GB2312"/>
          <w:spacing w:val="-6"/>
          <w:kern w:val="0"/>
          <w:sz w:val="32"/>
          <w:szCs w:val="32"/>
        </w:rPr>
        <w:t>。</w:t>
      </w:r>
    </w:p>
    <w:p w14:paraId="77C6431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按月延缴：持续按照在职职工标准缴纳医保至满足最低缴费年限，延缴期间全程按在职职工享受医保待遇。</w:t>
      </w:r>
    </w:p>
    <w:p w14:paraId="7862F1D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二、个人账户使用</w:t>
      </w:r>
    </w:p>
    <w:p w14:paraId="488EB88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个人账户资金可用于支付本人及已完成共济备案</w:t>
      </w:r>
      <w:r>
        <w:rPr>
          <w:rFonts w:hint="eastAsia" w:ascii="仿宋_GB2312" w:hAnsi="仿宋_GB2312" w:cs="仿宋_GB2312"/>
          <w:spacing w:val="-6"/>
          <w:kern w:val="0"/>
          <w:sz w:val="32"/>
          <w:szCs w:val="32"/>
          <w:lang w:eastAsia="zh-CN"/>
        </w:rPr>
        <w:t>的</w:t>
      </w:r>
      <w:r>
        <w:rPr>
          <w:rFonts w:hint="eastAsia" w:ascii="仿宋_GB2312" w:hAnsi="仿宋_GB2312" w:eastAsia="仿宋_GB2312" w:cs="仿宋_GB2312"/>
          <w:spacing w:val="-6"/>
          <w:kern w:val="0"/>
          <w:sz w:val="32"/>
          <w:szCs w:val="32"/>
        </w:rPr>
        <w:t>近亲属（配偶、父母、子女、兄弟姐妹、祖父母、外祖父母、孙子女、外孙子女）下列合规支出，被共济</w:t>
      </w:r>
      <w:r>
        <w:rPr>
          <w:rFonts w:hint="eastAsia" w:ascii="仿宋_GB2312" w:hAnsi="仿宋_GB2312" w:cs="仿宋_GB2312"/>
          <w:spacing w:val="-6"/>
          <w:kern w:val="0"/>
          <w:sz w:val="32"/>
          <w:szCs w:val="32"/>
          <w:lang w:val="en-US" w:eastAsia="zh-CN"/>
        </w:rPr>
        <w:t>近</w:t>
      </w:r>
      <w:r>
        <w:rPr>
          <w:rFonts w:hint="eastAsia" w:ascii="仿宋_GB2312" w:hAnsi="仿宋_GB2312" w:eastAsia="仿宋_GB2312" w:cs="仿宋_GB2312"/>
          <w:spacing w:val="-6"/>
          <w:kern w:val="0"/>
          <w:sz w:val="32"/>
          <w:szCs w:val="32"/>
        </w:rPr>
        <w:t>亲属须正常参加基本医疗保险，共济关系须通过医保线上服务平台或线下经办窗口完成备案；违规向</w:t>
      </w:r>
      <w:r>
        <w:rPr>
          <w:rFonts w:hint="eastAsia" w:ascii="仿宋_GB2312" w:hAnsi="仿宋_GB2312" w:eastAsia="仿宋_GB2312" w:cs="仿宋_GB2312"/>
          <w:spacing wpsCustomData:val="-6" w:val="4"/>
          <w:kern w:val="0"/>
          <w:sz w:val="32"/>
          <w:szCs w:val="32"/>
        </w:rPr>
        <w:t>备案范围以外人员转借、套现个人账户资金的，按欺诈骗</w:t>
      </w:r>
      <w:r>
        <w:rPr>
          <w:rFonts w:hint="eastAsia" w:ascii="仿宋_GB2312" w:hAnsi="仿宋_GB2312" w:eastAsia="仿宋_GB2312" w:cs="仿宋_GB2312"/>
          <w:spacing wpsCustomData:val="-6" w:val="-6"/>
          <w:kern w:val="0"/>
          <w:sz w:val="32"/>
          <w:szCs w:val="32"/>
        </w:rPr>
        <w:t>保</w:t>
      </w:r>
      <w:r>
        <w:rPr>
          <w:rFonts w:hint="eastAsia" w:ascii="仿宋_GB2312" w:hAnsi="仿宋_GB2312" w:eastAsia="仿宋_GB2312" w:cs="仿宋_GB2312"/>
          <w:spacing w:val="-6"/>
          <w:kern w:val="0"/>
          <w:sz w:val="32"/>
          <w:szCs w:val="32"/>
        </w:rPr>
        <w:t>处理：</w:t>
      </w:r>
    </w:p>
    <w:p w14:paraId="7C9D107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在定点医药机构发生的政策范围内自付的药品、医用耗材、诊疗费用；</w:t>
      </w:r>
    </w:p>
    <w:p w14:paraId="4C94166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城乡居民医保、长期护理保险、职工大额医疗费用补助（职工大病保险）个人缴费；</w:t>
      </w:r>
    </w:p>
    <w:p w14:paraId="753E42D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定点医疗机构流感疫苗接种费用；</w:t>
      </w:r>
    </w:p>
    <w:p w14:paraId="59C7C96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合规普惠型商业补充医疗保险（惠民保）保费；</w:t>
      </w:r>
    </w:p>
    <w:p w14:paraId="5D9807C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定点药店白名单内国药准字药品、刚需医用纱布、采血针、检测试剂等纯医疗耗材。</w:t>
      </w:r>
    </w:p>
    <w:p w14:paraId="02F999E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三、普通门诊统筹待遇</w:t>
      </w:r>
    </w:p>
    <w:p w14:paraId="05106A8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各级定点医疗机构年度起付标准：1级及以下200元，2级400元，3级600元；起付线以上政策范围内费用由统筹基金按对应比例支付。</w:t>
      </w:r>
    </w:p>
    <w:p w14:paraId="6CD2B68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统筹支付比例：在职职工在1级及以下、2级、3级定点医疗机构分别为80%、70%、60%；退休职工在1级及以下、2级、3级定点医疗机构分别为85%、75%、65%。</w:t>
      </w:r>
    </w:p>
    <w:p w14:paraId="732F664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年度统筹支付限额：在职职工3500元/自然年，退休职工4500元/自然年。</w:t>
      </w:r>
    </w:p>
    <w:p w14:paraId="4343F60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超统筹限额保障：普通门诊费用超出年度统筹限额的部分，纳入职工大额医疗费用补助保障范围，单独设置年度支付限额1000元。</w:t>
      </w:r>
    </w:p>
    <w:p w14:paraId="584A8FB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急诊</w:t>
      </w:r>
      <w:r>
        <w:rPr>
          <w:rFonts w:hint="eastAsia" w:ascii="仿宋_GB2312" w:hAnsi="仿宋_GB2312" w:cs="仿宋_GB2312"/>
          <w:spacing w:val="-6"/>
          <w:kern w:val="0"/>
          <w:sz w:val="32"/>
          <w:szCs w:val="32"/>
          <w:lang w:val="en-US" w:eastAsia="zh-CN"/>
        </w:rPr>
        <w:t>抢救</w:t>
      </w:r>
      <w:r>
        <w:rPr>
          <w:rFonts w:hint="eastAsia" w:ascii="仿宋_GB2312" w:hAnsi="仿宋_GB2312" w:eastAsia="仿宋_GB2312" w:cs="仿宋_GB2312"/>
          <w:spacing w:val="-6"/>
          <w:kern w:val="0"/>
          <w:sz w:val="32"/>
          <w:szCs w:val="32"/>
        </w:rPr>
        <w:t>住院衔接政策：参保职工急诊抢救留观后收入住院的，住院前</w:t>
      </w:r>
      <w:r>
        <w:rPr>
          <w:rFonts w:hint="eastAsia" w:ascii="仿宋_GB2312" w:hAnsi="仿宋_GB2312" w:cs="仿宋_GB2312"/>
          <w:spacing w:val="-6"/>
          <w:kern w:val="0"/>
          <w:sz w:val="32"/>
          <w:szCs w:val="32"/>
          <w:lang w:val="en-US" w:eastAsia="zh-CN"/>
        </w:rPr>
        <w:t>3</w:t>
      </w:r>
      <w:r>
        <w:rPr>
          <w:rFonts w:hint="eastAsia" w:ascii="仿宋_GB2312" w:hAnsi="仿宋_GB2312" w:eastAsia="仿宋_GB2312" w:cs="仿宋_GB2312"/>
          <w:spacing w:val="-6"/>
          <w:kern w:val="0"/>
          <w:sz w:val="32"/>
          <w:szCs w:val="32"/>
        </w:rPr>
        <w:t>日内留观合规费用并入住院费用结算；定点医疗机构直接结算，非定点机构由个人先行垫付后申报报销。急诊抢救无效死亡的，抢救医疗费用按住院政策支付；未留观或留观后未住院的急诊费用，按普通门诊统筹报销。</w:t>
      </w:r>
    </w:p>
    <w:p w14:paraId="54566E2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四、住院医保待遇</w:t>
      </w:r>
    </w:p>
    <w:p w14:paraId="71307F9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各级定点医疗机构年度起付标准：首次住院1级及以下400元，2级600元，3级800元；第二次住院各级医院起付标准减半；第3次及以上住院不再设置起付标准。中医类医疗机构起付线</w:t>
      </w:r>
      <w:r>
        <w:rPr>
          <w:rFonts w:hint="eastAsia" w:ascii="仿宋_GB2312" w:hAnsi="仿宋_GB2312" w:eastAsia="仿宋_GB2312" w:cs="仿宋_GB2312"/>
          <w:spacing wpsCustomData:val="-6" w:val="10"/>
          <w:kern w:val="0"/>
          <w:sz w:val="32"/>
          <w:szCs w:val="32"/>
        </w:rPr>
        <w:t>减</w:t>
      </w:r>
      <w:r>
        <w:rPr>
          <w:rFonts w:hint="eastAsia" w:ascii="仿宋_GB2312" w:hAnsi="仿宋_GB2312" w:eastAsia="仿宋_GB2312" w:cs="仿宋_GB2312"/>
          <w:spacing wpsCustomData:val="-6" w:val="11"/>
          <w:kern w:val="0"/>
          <w:sz w:val="32"/>
          <w:szCs w:val="32"/>
        </w:rPr>
        <w:t>半</w:t>
      </w:r>
      <w:r>
        <w:rPr>
          <w:rFonts w:hint="eastAsia" w:ascii="仿宋_GB2312" w:hAnsi="仿宋_GB2312" w:eastAsia="仿宋_GB2312" w:cs="仿宋_GB2312"/>
          <w:spacing wpsCustomData:val="-6" w:val="10"/>
          <w:kern w:val="0"/>
          <w:sz w:val="32"/>
          <w:szCs w:val="32"/>
        </w:rPr>
        <w:t>。</w:t>
      </w:r>
      <w:r>
        <w:rPr>
          <w:rFonts w:hint="eastAsia" w:ascii="仿宋_GB2312" w:hAnsi="仿宋_GB2312" w:eastAsia="仿宋_GB2312" w:cs="仿宋_GB2312"/>
          <w:spacing wpsCustomData:val="-6" w:val="11"/>
          <w:kern w:val="0"/>
          <w:sz w:val="32"/>
          <w:szCs w:val="32"/>
        </w:rPr>
        <w:t>起付线以上政策范围内费用由统筹基金按对应比</w:t>
      </w:r>
      <w:r>
        <w:rPr>
          <w:rFonts w:hint="eastAsia" w:ascii="仿宋_GB2312" w:hAnsi="仿宋_GB2312" w:eastAsia="仿宋_GB2312" w:cs="仿宋_GB2312"/>
          <w:spacing wpsCustomData:val="-6" w:val="-6"/>
          <w:kern w:val="0"/>
          <w:sz w:val="32"/>
          <w:szCs w:val="32"/>
        </w:rPr>
        <w:t>例</w:t>
      </w:r>
      <w:r>
        <w:rPr>
          <w:rFonts w:hint="eastAsia" w:ascii="仿宋_GB2312" w:hAnsi="仿宋_GB2312" w:eastAsia="仿宋_GB2312" w:cs="仿宋_GB2312"/>
          <w:spacing w:val="-6"/>
          <w:kern w:val="0"/>
          <w:sz w:val="32"/>
          <w:szCs w:val="32"/>
        </w:rPr>
        <w:t>支付。</w:t>
      </w:r>
    </w:p>
    <w:p w14:paraId="4C3C2ED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统筹支付比例：在职职工在1级及以下、2级、3级定点医疗机构分别为90%、85%、80%；退休职工在1级及以下、2级、3级定点医疗机构分别为95%、92.5%、90%。</w:t>
      </w:r>
    </w:p>
    <w:p w14:paraId="2AD2021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年度统筹支付限额：20万元/自然年。</w:t>
      </w:r>
    </w:p>
    <w:p w14:paraId="16FB0A99">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五、门诊慢特病保障</w:t>
      </w:r>
    </w:p>
    <w:p w14:paraId="308BF889">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（一）通用基础规则</w:t>
      </w:r>
    </w:p>
    <w:p w14:paraId="7FD1242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病种分类：基本病种49种、单独支付病种32种；</w:t>
      </w:r>
    </w:p>
    <w:p w14:paraId="21146AA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年度起付标准：600元，严重精神障碍不设起付线；门诊慢特病起付线与住院起付线分开计算，互不抵扣；</w:t>
      </w:r>
    </w:p>
    <w:p w14:paraId="3273DC3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支付范围：与认定病种</w:t>
      </w:r>
      <w:r>
        <w:rPr>
          <w:rFonts w:hint="eastAsia" w:ascii="仿宋_GB2312" w:hAnsi="仿宋_GB2312" w:cs="仿宋_GB2312"/>
          <w:spacing w:val="-6"/>
          <w:kern w:val="0"/>
          <w:sz w:val="32"/>
          <w:szCs w:val="32"/>
          <w:lang w:val="en-US" w:eastAsia="zh-CN"/>
        </w:rPr>
        <w:t>治疗</w:t>
      </w:r>
      <w:r>
        <w:rPr>
          <w:rFonts w:hint="eastAsia" w:ascii="仿宋_GB2312" w:hAnsi="仿宋_GB2312" w:eastAsia="仿宋_GB2312" w:cs="仿宋_GB2312"/>
          <w:spacing w:val="-6"/>
          <w:kern w:val="0"/>
          <w:sz w:val="32"/>
          <w:szCs w:val="32"/>
        </w:rPr>
        <w:t>直接相关，符合医保“三大目录”的药品、检查、检验、治疗、耗材全部纳入统筹支付；</w:t>
      </w:r>
    </w:p>
    <w:p w14:paraId="37BD728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多病种管理：同时认定多种慢特病，各病种年度支付限额独立核算，不合并、不混用；</w:t>
      </w:r>
    </w:p>
    <w:p w14:paraId="578639F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cs="仿宋_GB2312"/>
          <w:spacing w:val="-6"/>
          <w:kern w:val="0"/>
          <w:sz w:val="32"/>
          <w:szCs w:val="32"/>
          <w:lang w:val="en-US" w:eastAsia="zh-CN"/>
        </w:rPr>
        <w:t>基本</w:t>
      </w:r>
      <w:r>
        <w:rPr>
          <w:rFonts w:hint="eastAsia" w:ascii="仿宋_GB2312" w:hAnsi="仿宋_GB2312" w:eastAsia="仿宋_GB2312" w:cs="仿宋_GB2312"/>
          <w:spacing w:val="-6"/>
          <w:kern w:val="0"/>
          <w:sz w:val="32"/>
          <w:szCs w:val="32"/>
        </w:rPr>
        <w:t>病种支付比例：恶性肿瘤门诊治疗、白血病、</w:t>
      </w:r>
      <w:r>
        <w:rPr>
          <w:rFonts w:hint="eastAsia" w:ascii="仿宋_GB2312" w:hAnsi="仿宋_GB2312" w:cs="仿宋_GB2312"/>
          <w:spacing w:val="-6"/>
          <w:kern w:val="0"/>
          <w:sz w:val="32"/>
          <w:szCs w:val="32"/>
          <w:lang w:val="en-US" w:eastAsia="zh-CN"/>
        </w:rPr>
        <w:t>组织或</w:t>
      </w:r>
      <w:r>
        <w:rPr>
          <w:rFonts w:hint="eastAsia" w:ascii="仿宋_GB2312" w:hAnsi="仿宋_GB2312" w:eastAsia="仿宋_GB2312" w:cs="仿宋_GB2312"/>
          <w:spacing w:val="-6"/>
          <w:kern w:val="0"/>
          <w:sz w:val="32"/>
          <w:szCs w:val="32"/>
        </w:rPr>
        <w:t>器官移植抗排异</w:t>
      </w:r>
      <w:r>
        <w:rPr>
          <w:rFonts w:hint="eastAsia" w:ascii="仿宋_GB2312" w:hAnsi="仿宋_GB2312" w:cs="仿宋_GB2312"/>
          <w:spacing w:val="-6"/>
          <w:kern w:val="0"/>
          <w:sz w:val="32"/>
          <w:szCs w:val="32"/>
          <w:lang w:val="en-US" w:eastAsia="zh-CN"/>
        </w:rPr>
        <w:t>治疗</w:t>
      </w:r>
      <w:r>
        <w:rPr>
          <w:rFonts w:hint="eastAsia" w:ascii="仿宋_GB2312" w:hAnsi="仿宋_GB2312" w:eastAsia="仿宋_GB2312" w:cs="仿宋_GB2312"/>
          <w:spacing w:val="-6"/>
          <w:kern w:val="0"/>
          <w:sz w:val="32"/>
          <w:szCs w:val="32"/>
        </w:rPr>
        <w:t>、尿毒症透析</w:t>
      </w:r>
      <w:r>
        <w:rPr>
          <w:rFonts w:hint="eastAsia" w:ascii="仿宋_GB2312" w:hAnsi="仿宋_GB2312" w:cs="仿宋_GB2312"/>
          <w:spacing w:val="-6"/>
          <w:kern w:val="0"/>
          <w:sz w:val="32"/>
          <w:szCs w:val="32"/>
          <w:lang w:val="en-US" w:eastAsia="zh-CN"/>
        </w:rPr>
        <w:t>治疗支付</w:t>
      </w:r>
      <w:r>
        <w:rPr>
          <w:rFonts w:hint="eastAsia" w:ascii="仿宋_GB2312" w:hAnsi="仿宋_GB2312" w:eastAsia="仿宋_GB2312" w:cs="仿宋_GB2312"/>
          <w:spacing w:val="-6"/>
          <w:kern w:val="0"/>
          <w:sz w:val="32"/>
          <w:szCs w:val="32"/>
        </w:rPr>
        <w:t>90%；其余</w:t>
      </w:r>
      <w:r>
        <w:rPr>
          <w:rFonts w:hint="eastAsia" w:ascii="仿宋_GB2312" w:hAnsi="仿宋_GB2312" w:cs="仿宋_GB2312"/>
          <w:spacing w:val="-6"/>
          <w:kern w:val="0"/>
          <w:sz w:val="32"/>
          <w:szCs w:val="32"/>
          <w:lang w:val="en-US" w:eastAsia="zh-CN"/>
        </w:rPr>
        <w:t>基本</w:t>
      </w:r>
      <w:r>
        <w:rPr>
          <w:rFonts w:hint="eastAsia" w:ascii="仿宋_GB2312" w:hAnsi="仿宋_GB2312" w:eastAsia="仿宋_GB2312" w:cs="仿宋_GB2312"/>
          <w:spacing w:val="-6"/>
          <w:kern w:val="0"/>
          <w:sz w:val="32"/>
          <w:szCs w:val="32"/>
        </w:rPr>
        <w:t>病种</w:t>
      </w:r>
      <w:r>
        <w:rPr>
          <w:rFonts w:hint="eastAsia" w:ascii="仿宋_GB2312" w:hAnsi="仿宋_GB2312" w:cs="仿宋_GB2312"/>
          <w:spacing w:val="-6"/>
          <w:kern w:val="0"/>
          <w:sz w:val="32"/>
          <w:szCs w:val="32"/>
          <w:lang w:val="en-US" w:eastAsia="zh-CN"/>
        </w:rPr>
        <w:t>支付</w:t>
      </w:r>
      <w:r>
        <w:rPr>
          <w:rFonts w:hint="eastAsia" w:ascii="仿宋_GB2312" w:hAnsi="仿宋_GB2312" w:eastAsia="仿宋_GB2312" w:cs="仿宋_GB2312"/>
          <w:spacing w:val="-6"/>
          <w:kern w:val="0"/>
          <w:sz w:val="32"/>
          <w:szCs w:val="32"/>
        </w:rPr>
        <w:t>80%；各病种年度支付限额详见附件1。</w:t>
      </w:r>
    </w:p>
    <w:p w14:paraId="027099E9">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（二）单独支付病种专项规则</w:t>
      </w:r>
    </w:p>
    <w:p w14:paraId="2E85E7B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年度起付标准600元；</w:t>
      </w:r>
    </w:p>
    <w:p w14:paraId="3DFA9AA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使用国家谈判药品（含协议到期续保药品），参保职工先行自付20%后，剩余合规费用统筹基金按90%支付；</w:t>
      </w:r>
    </w:p>
    <w:p w14:paraId="284E0E5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单独支付病种发生费用占用职工基本医保住院20万元年度统筹最高支付限额，二者共用同一封顶额度。各病种详见附件2。</w:t>
      </w:r>
    </w:p>
    <w:p w14:paraId="0A4DF9E4">
      <w:pPr>
        <w:pStyle w:val="11"/>
        <w:pageBreakBefore w:val="0"/>
        <w:widowControl/>
        <w:numPr>
          <w:ilvl w:val="0"/>
          <w:numId w:val="0"/>
        </w:numPr>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第三章</w:t>
      </w:r>
      <w:r>
        <w:rPr>
          <w:rFonts w:hint="eastAsia" w:ascii="方正黑体_GBK" w:hAnsi="方正黑体_GBK" w:eastAsia="方正黑体_GBK" w:cs="方正黑体_GBK"/>
          <w:spacing w:val="-6"/>
          <w:kern w:val="0"/>
          <w:sz w:val="32"/>
          <w:szCs w:val="32"/>
          <w:lang w:val="en-US" w:eastAsia="zh-CN"/>
        </w:rPr>
        <w:t xml:space="preserve">  </w:t>
      </w:r>
      <w:r>
        <w:rPr>
          <w:rFonts w:hint="eastAsia" w:ascii="方正黑体_GBK" w:hAnsi="方正黑体_GBK" w:eastAsia="方正黑体_GBK" w:cs="方正黑体_GBK"/>
          <w:spacing w:val="-6"/>
          <w:kern w:val="0"/>
          <w:sz w:val="32"/>
          <w:szCs w:val="32"/>
        </w:rPr>
        <w:t>城乡居民基本医疗保险待遇支付政策</w:t>
      </w:r>
    </w:p>
    <w:p w14:paraId="5CEB678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一、参保范围</w:t>
      </w:r>
    </w:p>
    <w:p w14:paraId="41D434F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除应当参加职工医保、享有其他法定医疗保障以外的全体枣庄市域</w:t>
      </w:r>
      <w:r>
        <w:rPr>
          <w:rFonts w:hint="eastAsia" w:ascii="仿宋_GB2312" w:hAnsi="仿宋_GB2312" w:cs="仿宋_GB2312"/>
          <w:spacing w:val="-6"/>
          <w:kern w:val="0"/>
          <w:sz w:val="32"/>
          <w:szCs w:val="32"/>
          <w:lang w:val="en-US" w:eastAsia="zh-CN"/>
        </w:rPr>
        <w:t>内</w:t>
      </w:r>
      <w:r>
        <w:rPr>
          <w:rFonts w:hint="eastAsia" w:ascii="仿宋_GB2312" w:hAnsi="仿宋_GB2312" w:eastAsia="仿宋_GB2312" w:cs="仿宋_GB2312"/>
          <w:spacing w:val="-6"/>
          <w:kern w:val="0"/>
          <w:sz w:val="32"/>
          <w:szCs w:val="32"/>
        </w:rPr>
        <w:t>城乡居民。</w:t>
      </w:r>
    </w:p>
    <w:p w14:paraId="431CBE5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二、普通门诊待遇</w:t>
      </w:r>
    </w:p>
    <w:p w14:paraId="1B092BA9">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无起付线，合规医药费用统筹支付65%；一般诊疗费单独按80%支付。</w:t>
      </w:r>
    </w:p>
    <w:p w14:paraId="746E779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年度统筹支付限额分缴费档次设定，标准每年随居民医保筹资文件同步公布；当年未出台新标准的，参保当年沿用上年执行标准。</w:t>
      </w:r>
    </w:p>
    <w:p w14:paraId="552B412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急诊</w:t>
      </w:r>
      <w:r>
        <w:rPr>
          <w:rFonts w:hint="eastAsia" w:ascii="仿宋_GB2312" w:hAnsi="仿宋_GB2312" w:cs="仿宋_GB2312"/>
          <w:spacing w:val="-6"/>
          <w:kern w:val="0"/>
          <w:sz w:val="32"/>
          <w:szCs w:val="32"/>
          <w:lang w:val="en-US" w:eastAsia="zh-CN"/>
        </w:rPr>
        <w:t>抢救</w:t>
      </w:r>
      <w:r>
        <w:rPr>
          <w:rFonts w:hint="eastAsia" w:ascii="仿宋_GB2312" w:hAnsi="仿宋_GB2312" w:eastAsia="仿宋_GB2312" w:cs="仿宋_GB2312"/>
          <w:spacing w:val="-6"/>
          <w:kern w:val="0"/>
          <w:sz w:val="32"/>
          <w:szCs w:val="32"/>
        </w:rPr>
        <w:t>住院衔接政策：参保居民急诊抢救留观并收入住院的，住院前</w:t>
      </w:r>
      <w:r>
        <w:rPr>
          <w:rFonts w:hint="eastAsia" w:ascii="仿宋_GB2312" w:hAnsi="仿宋_GB2312" w:cs="仿宋_GB2312"/>
          <w:spacing w:val="-6"/>
          <w:kern w:val="0"/>
          <w:sz w:val="32"/>
          <w:szCs w:val="32"/>
          <w:lang w:val="en-US" w:eastAsia="zh-CN"/>
        </w:rPr>
        <w:t>3</w:t>
      </w:r>
      <w:r>
        <w:rPr>
          <w:rFonts w:hint="eastAsia" w:ascii="仿宋_GB2312" w:hAnsi="仿宋_GB2312" w:eastAsia="仿宋_GB2312" w:cs="仿宋_GB2312"/>
          <w:spacing w:val="-6"/>
          <w:kern w:val="0"/>
          <w:sz w:val="32"/>
          <w:szCs w:val="32"/>
        </w:rPr>
        <w:t>日内留观合规费用并入住院费用结算；定点医疗机构直接结算，非定点医疗机构由个人先行垫付后到医保经办机构申报报销。急诊抢救无效死亡的，抢救医疗费用按居民住院政策支付。</w:t>
      </w:r>
    </w:p>
    <w:p w14:paraId="25FA4CD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三、门急诊意外伤害保障</w:t>
      </w:r>
    </w:p>
    <w:p w14:paraId="38440F2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参保居民无第三方赔付责任人的意外伤害门急诊费用，经医保经办机构核查属实后方可报销；交通事故、他人故意伤害、应当由工伤保险赔付等存在第三方赔付责任的情形，不在本项保障范围。报销时扣除300元起付标准，剩余合规费用据实支付，年度统筹支付限额600元。参保人需提供</w:t>
      </w:r>
      <w:r>
        <w:rPr>
          <w:rFonts w:hint="eastAsia"/>
          <w:lang w:eastAsia="zh-CN"/>
        </w:rPr>
        <w:t>外伤经过相关证明、门诊诊断证明</w:t>
      </w:r>
      <w:r>
        <w:rPr>
          <w:rFonts w:hint="eastAsia" w:ascii="仿宋_GB2312" w:hAnsi="仿宋_GB2312" w:eastAsia="仿宋_GB2312" w:cs="仿宋_GB2312"/>
          <w:spacing w:val="-6"/>
          <w:kern w:val="0"/>
          <w:sz w:val="32"/>
          <w:szCs w:val="32"/>
        </w:rPr>
        <w:t>等提交医保经办机构核查。</w:t>
      </w:r>
    </w:p>
    <w:p w14:paraId="25D5C8A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四、高血压、糖尿病“两病”专项门诊保障</w:t>
      </w:r>
    </w:p>
    <w:p w14:paraId="05B9DBD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适用机构：2级及以下基层定点医疗机构；无起付标准；降血压、降血糖药品政策范围内费用统筹支付7</w:t>
      </w:r>
      <w:r>
        <w:rPr>
          <w:rFonts w:hint="eastAsia" w:ascii="仿宋_GB2312" w:hAnsi="仿宋_GB2312" w:cs="仿宋_GB2312"/>
          <w:spacing w:val="-6"/>
          <w:kern w:val="0"/>
          <w:sz w:val="32"/>
          <w:szCs w:val="32"/>
          <w:lang w:val="en-US" w:eastAsia="zh-CN"/>
        </w:rPr>
        <w:t>5</w:t>
      </w:r>
      <w:r>
        <w:rPr>
          <w:rFonts w:hint="eastAsia" w:ascii="仿宋_GB2312" w:hAnsi="仿宋_GB2312" w:eastAsia="仿宋_GB2312" w:cs="仿宋_GB2312"/>
          <w:spacing w:val="-6"/>
          <w:kern w:val="0"/>
          <w:sz w:val="32"/>
          <w:szCs w:val="32"/>
        </w:rPr>
        <w:t>%。</w:t>
      </w:r>
    </w:p>
    <w:p w14:paraId="5C501A4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年度统筹支付限额：单纯高血压300元、单纯糖尿病300元；合并高血压糖尿病、糖尿病使用胰岛素治疗600元。</w:t>
      </w:r>
    </w:p>
    <w:p w14:paraId="6B3962C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五、门诊慢特病保障</w:t>
      </w:r>
    </w:p>
    <w:p w14:paraId="08ED0C78">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（一）通用基础规则</w:t>
      </w:r>
    </w:p>
    <w:p w14:paraId="6334179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病种范围与职工医保完全一致，分49种</w:t>
      </w:r>
      <w:r>
        <w:rPr>
          <w:rFonts w:hint="eastAsia" w:ascii="仿宋_GB2312" w:hAnsi="仿宋_GB2312" w:cs="仿宋_GB2312"/>
          <w:spacing w:val="-6"/>
          <w:kern w:val="0"/>
          <w:sz w:val="32"/>
          <w:szCs w:val="32"/>
          <w:lang w:val="en-US" w:eastAsia="zh-CN"/>
        </w:rPr>
        <w:t>基本</w:t>
      </w:r>
      <w:r>
        <w:rPr>
          <w:rFonts w:hint="eastAsia" w:ascii="仿宋_GB2312" w:hAnsi="仿宋_GB2312" w:eastAsia="仿宋_GB2312" w:cs="仿宋_GB2312"/>
          <w:spacing w:val="-6"/>
          <w:kern w:val="0"/>
          <w:sz w:val="32"/>
          <w:szCs w:val="32"/>
        </w:rPr>
        <w:t>病种、32种单独支付病种；</w:t>
      </w:r>
    </w:p>
    <w:p w14:paraId="069F4DA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年度起付标准300元，严重精神障碍不设起付线；门诊慢特病起付线与住院起付线分开计算，互不抵扣；</w:t>
      </w:r>
    </w:p>
    <w:p w14:paraId="7B8DD5D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支付范围：与认定病种</w:t>
      </w:r>
      <w:r>
        <w:rPr>
          <w:rFonts w:hint="eastAsia" w:ascii="仿宋_GB2312" w:hAnsi="仿宋_GB2312" w:cs="仿宋_GB2312"/>
          <w:spacing w:val="-6"/>
          <w:kern w:val="0"/>
          <w:sz w:val="32"/>
          <w:szCs w:val="32"/>
          <w:lang w:val="en-US" w:eastAsia="zh-CN"/>
        </w:rPr>
        <w:t>治疗</w:t>
      </w:r>
      <w:r>
        <w:rPr>
          <w:rFonts w:hint="eastAsia" w:ascii="仿宋_GB2312" w:hAnsi="仿宋_GB2312" w:eastAsia="仿宋_GB2312" w:cs="仿宋_GB2312"/>
          <w:spacing w:val="-6"/>
          <w:kern w:val="0"/>
          <w:sz w:val="32"/>
          <w:szCs w:val="32"/>
        </w:rPr>
        <w:t>直接相关，符合医保“三大目录”的药品、检查、检验、治疗、耗材全部纳入统筹支付；</w:t>
      </w:r>
    </w:p>
    <w:p w14:paraId="7895C07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多病种管理：同时认定多种慢特病，各病种年度支付限额独立核算，不合并、不混用；</w:t>
      </w:r>
    </w:p>
    <w:p w14:paraId="6CD00F2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cs="仿宋_GB2312"/>
          <w:spacing w:val="-6"/>
          <w:kern w:val="0"/>
          <w:sz w:val="32"/>
          <w:szCs w:val="32"/>
          <w:lang w:val="en-US" w:eastAsia="zh-CN"/>
        </w:rPr>
        <w:t>基本</w:t>
      </w:r>
      <w:r>
        <w:rPr>
          <w:rFonts w:hint="eastAsia" w:ascii="仿宋_GB2312" w:hAnsi="仿宋_GB2312" w:eastAsia="仿宋_GB2312" w:cs="仿宋_GB2312"/>
          <w:spacing w:val="-6"/>
          <w:kern w:val="0"/>
          <w:sz w:val="32"/>
          <w:szCs w:val="32"/>
        </w:rPr>
        <w:t>病种支付比例：恶性肿瘤门诊治疗、</w:t>
      </w:r>
      <w:r>
        <w:rPr>
          <w:rFonts w:hint="eastAsia" w:ascii="仿宋_GB2312" w:hAnsi="仿宋_GB2312" w:cs="仿宋_GB2312"/>
          <w:spacing w:val="-6"/>
          <w:kern w:val="0"/>
          <w:sz w:val="32"/>
          <w:szCs w:val="32"/>
          <w:lang w:val="en-US" w:eastAsia="zh-CN"/>
        </w:rPr>
        <w:t>组织或</w:t>
      </w:r>
      <w:r>
        <w:rPr>
          <w:rFonts w:hint="eastAsia" w:ascii="仿宋_GB2312" w:hAnsi="仿宋_GB2312" w:eastAsia="仿宋_GB2312" w:cs="仿宋_GB2312"/>
          <w:spacing w:val="-6"/>
          <w:kern w:val="0"/>
          <w:sz w:val="32"/>
          <w:szCs w:val="32"/>
        </w:rPr>
        <w:t>器官移植抗排异</w:t>
      </w:r>
      <w:r>
        <w:rPr>
          <w:rFonts w:hint="eastAsia" w:ascii="仿宋_GB2312" w:hAnsi="仿宋_GB2312" w:cs="仿宋_GB2312"/>
          <w:spacing w:val="-6"/>
          <w:kern w:val="0"/>
          <w:sz w:val="32"/>
          <w:szCs w:val="32"/>
          <w:lang w:val="en-US" w:eastAsia="zh-CN"/>
        </w:rPr>
        <w:t>治疗</w:t>
      </w:r>
      <w:r>
        <w:rPr>
          <w:rFonts w:hint="eastAsia" w:ascii="仿宋_GB2312" w:hAnsi="仿宋_GB2312" w:eastAsia="仿宋_GB2312" w:cs="仿宋_GB2312"/>
          <w:spacing w:val="-6"/>
          <w:kern w:val="0"/>
          <w:sz w:val="32"/>
          <w:szCs w:val="32"/>
        </w:rPr>
        <w:t>、白血病、血友病</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eastAsia="zh-CN"/>
        </w:rPr>
        <w:t>再生障碍性贫血、</w:t>
      </w:r>
      <w:r>
        <w:rPr>
          <w:rFonts w:hint="eastAsia" w:ascii="仿宋_GB2312" w:hAnsi="仿宋_GB2312" w:eastAsia="仿宋_GB2312" w:cs="仿宋_GB2312"/>
          <w:spacing w:val="-6"/>
          <w:kern w:val="0"/>
          <w:sz w:val="32"/>
          <w:szCs w:val="32"/>
          <w:lang w:val="en-US" w:eastAsia="zh-CN"/>
        </w:rPr>
        <w:t>尿毒症透析治疗</w:t>
      </w:r>
      <w:r>
        <w:rPr>
          <w:rFonts w:hint="eastAsia" w:ascii="仿宋_GB2312" w:hAnsi="仿宋_GB2312" w:eastAsia="仿宋_GB2312" w:cs="仿宋_GB2312"/>
          <w:spacing w:val="-6"/>
          <w:kern w:val="0"/>
          <w:sz w:val="32"/>
          <w:szCs w:val="32"/>
          <w:lang w:eastAsia="zh-CN"/>
        </w:rPr>
        <w:t>，脑瘫、视力、听力、言语、智力、肢体等残疾儿童和孤独症儿童康复治疗</w:t>
      </w:r>
      <w:r>
        <w:rPr>
          <w:rFonts w:hint="eastAsia" w:ascii="仿宋_GB2312" w:hAnsi="仿宋_GB2312" w:eastAsia="仿宋_GB2312" w:cs="仿宋_GB2312"/>
          <w:spacing w:val="-6"/>
          <w:kern w:val="0"/>
          <w:sz w:val="32"/>
          <w:szCs w:val="32"/>
          <w:lang w:val="en-US" w:eastAsia="zh-CN"/>
        </w:rPr>
        <w:t>支付</w:t>
      </w:r>
      <w:r>
        <w:rPr>
          <w:rFonts w:hint="eastAsia" w:ascii="仿宋_GB2312" w:hAnsi="仿宋_GB2312" w:eastAsia="仿宋_GB2312" w:cs="仿宋_GB2312"/>
          <w:spacing w:val="-6"/>
          <w:kern w:val="0"/>
          <w:sz w:val="32"/>
          <w:szCs w:val="32"/>
        </w:rPr>
        <w:t>70%；其余</w:t>
      </w:r>
      <w:r>
        <w:rPr>
          <w:rFonts w:hint="eastAsia" w:ascii="仿宋_GB2312" w:hAnsi="仿宋_GB2312" w:eastAsia="仿宋_GB2312" w:cs="仿宋_GB2312"/>
          <w:spacing w:val="-6"/>
          <w:kern w:val="0"/>
          <w:sz w:val="32"/>
          <w:szCs w:val="32"/>
          <w:lang w:val="en-US" w:eastAsia="zh-CN"/>
        </w:rPr>
        <w:t>基本</w:t>
      </w:r>
      <w:r>
        <w:rPr>
          <w:rFonts w:hint="eastAsia" w:ascii="仿宋_GB2312" w:hAnsi="仿宋_GB2312" w:eastAsia="仿宋_GB2312" w:cs="仿宋_GB2312"/>
          <w:spacing w:val="-6"/>
          <w:kern w:val="0"/>
          <w:sz w:val="32"/>
          <w:szCs w:val="32"/>
        </w:rPr>
        <w:t>病种</w:t>
      </w:r>
      <w:r>
        <w:rPr>
          <w:rFonts w:hint="eastAsia" w:ascii="仿宋_GB2312" w:hAnsi="仿宋_GB2312" w:eastAsia="仿宋_GB2312" w:cs="仿宋_GB2312"/>
          <w:spacing w:val="-6"/>
          <w:kern w:val="0"/>
          <w:sz w:val="32"/>
          <w:szCs w:val="32"/>
          <w:lang w:val="en-US" w:eastAsia="zh-CN"/>
        </w:rPr>
        <w:t>支付</w:t>
      </w:r>
      <w:r>
        <w:rPr>
          <w:rFonts w:hint="eastAsia" w:ascii="仿宋_GB2312" w:hAnsi="仿宋_GB2312" w:eastAsia="仿宋_GB2312" w:cs="仿宋_GB2312"/>
          <w:spacing w:val="-6"/>
          <w:kern w:val="0"/>
          <w:sz w:val="32"/>
          <w:szCs w:val="32"/>
        </w:rPr>
        <w:t>60%；各病种年度限额详见附件1。</w:t>
      </w:r>
    </w:p>
    <w:p w14:paraId="2C9B6F8D">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（二）单独支付病种专项规则</w:t>
      </w:r>
    </w:p>
    <w:p w14:paraId="34666B4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年度起付标准300元；</w:t>
      </w:r>
    </w:p>
    <w:p w14:paraId="5044535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使用国家谈判药品（含协议到期续保药品），居民先行自付20%后，剩余合规费用统筹基金按70%支付；</w:t>
      </w:r>
    </w:p>
    <w:p w14:paraId="0D18EAF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单独支付病种年度支付限额与居民住院统筹15万元年度限额合并计算。各病种详见附件2。</w:t>
      </w:r>
    </w:p>
    <w:p w14:paraId="515A5F4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六、住院医保待遇</w:t>
      </w:r>
    </w:p>
    <w:p w14:paraId="75E5452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各级定点医疗机构年度起付标准：首次住院1级及以下200元，2级300元，3级500元；第二次住院各级医院起付标准减半；第3次及以上住院1级医院起付100元，2级、3级医院不再设</w:t>
      </w:r>
      <w:r>
        <w:rPr>
          <w:rFonts w:hint="eastAsia" w:ascii="仿宋_GB2312" w:hAnsi="仿宋_GB2312" w:eastAsia="仿宋_GB2312" w:cs="仿宋_GB2312"/>
          <w:spacing wpsCustomData:val="-6" w:val="4"/>
          <w:kern w:val="0"/>
          <w:sz w:val="32"/>
          <w:szCs w:val="32"/>
        </w:rPr>
        <w:t>置起付标准。</w:t>
      </w:r>
      <w:r>
        <w:rPr>
          <w:rFonts w:hint="eastAsia" w:ascii="仿宋_GB2312" w:hAnsi="仿宋_GB2312" w:eastAsia="仿宋_GB2312" w:cs="仿宋_GB2312"/>
          <w:spacing w:val="-6"/>
          <w:kern w:val="0"/>
          <w:sz w:val="32"/>
          <w:szCs w:val="32"/>
        </w:rPr>
        <w:t>中医类医疗机构起付线</w:t>
      </w:r>
      <w:r>
        <w:rPr>
          <w:rFonts w:hint="eastAsia" w:ascii="仿宋_GB2312" w:hAnsi="仿宋_GB2312" w:eastAsia="仿宋_GB2312" w:cs="仿宋_GB2312"/>
          <w:spacing wpsCustomData:val="-6" w:val="10"/>
          <w:kern w:val="0"/>
          <w:sz w:val="32"/>
          <w:szCs w:val="32"/>
        </w:rPr>
        <w:t>减</w:t>
      </w:r>
      <w:r>
        <w:rPr>
          <w:rFonts w:hint="eastAsia" w:ascii="仿宋_GB2312" w:hAnsi="仿宋_GB2312" w:eastAsia="仿宋_GB2312" w:cs="仿宋_GB2312"/>
          <w:spacing wpsCustomData:val="-6" w:val="11"/>
          <w:kern w:val="0"/>
          <w:sz w:val="32"/>
          <w:szCs w:val="32"/>
        </w:rPr>
        <w:t>半</w:t>
      </w:r>
      <w:r>
        <w:rPr>
          <w:rFonts w:hint="eastAsia" w:ascii="仿宋_GB2312" w:hAnsi="仿宋_GB2312" w:eastAsia="仿宋_GB2312" w:cs="仿宋_GB2312"/>
          <w:spacing wpsCustomData:val="-6" w:val="10"/>
          <w:kern w:val="0"/>
          <w:sz w:val="32"/>
          <w:szCs w:val="32"/>
        </w:rPr>
        <w:t>。</w:t>
      </w:r>
      <w:r>
        <w:rPr>
          <w:rFonts w:hint="eastAsia" w:ascii="仿宋_GB2312" w:hAnsi="仿宋_GB2312" w:eastAsia="仿宋_GB2312" w:cs="仿宋_GB2312"/>
          <w:spacing wpsCustomData:val="-6" w:val="4"/>
          <w:kern w:val="0"/>
          <w:sz w:val="32"/>
          <w:szCs w:val="32"/>
        </w:rPr>
        <w:t>起付线以上政策内费用由统筹基金按对应比</w:t>
      </w:r>
      <w:r>
        <w:rPr>
          <w:rFonts w:hint="eastAsia" w:ascii="仿宋_GB2312" w:hAnsi="仿宋_GB2312" w:eastAsia="仿宋_GB2312" w:cs="仿宋_GB2312"/>
          <w:spacing wpsCustomData:val="-6" w:val="-6"/>
          <w:kern w:val="0"/>
          <w:sz w:val="32"/>
          <w:szCs w:val="32"/>
        </w:rPr>
        <w:t>例</w:t>
      </w:r>
      <w:r>
        <w:rPr>
          <w:rFonts w:hint="eastAsia" w:ascii="仿宋_GB2312" w:hAnsi="仿宋_GB2312" w:eastAsia="仿宋_GB2312" w:cs="仿宋_GB2312"/>
          <w:spacing w:val="-6"/>
          <w:kern w:val="0"/>
          <w:sz w:val="32"/>
          <w:szCs w:val="32"/>
        </w:rPr>
        <w:t>支付。</w:t>
      </w:r>
    </w:p>
    <w:p w14:paraId="4411CEB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政策范围内住院报销比例：1级及以下85%，2级70%，3级55%。参保居民连续正常缴费满2年的，自下一个自然年度起享受报销比例上浮政策；在对应等级医院原报销比例基础上，连续缴费每多1年提高1个百分点，累计最高上浮5个百分点；医保缴费发生中断的，再次参保后连续缴费年限清零，重新累计计算。</w:t>
      </w:r>
    </w:p>
    <w:p w14:paraId="0EB7E49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年度统筹最高支付限额：15万元/自然年。</w:t>
      </w:r>
    </w:p>
    <w:p w14:paraId="71B68010">
      <w:pPr>
        <w:pStyle w:val="11"/>
        <w:pageBreakBefore w:val="0"/>
        <w:widowControl/>
        <w:numPr>
          <w:ilvl w:val="0"/>
          <w:numId w:val="0"/>
        </w:numPr>
        <w:kinsoku/>
        <w:wordWrap/>
        <w:overflowPunct/>
        <w:topLinePunct w:val="0"/>
        <w:autoSpaceDE/>
        <w:autoSpaceDN/>
        <w:bidi w:val="0"/>
        <w:adjustRightInd/>
        <w:snapToGrid/>
        <w:jc w:val="center"/>
        <w:textAlignment w:val="auto"/>
        <w:rPr>
          <w:rFonts w:hint="eastAsia" w:ascii="仿宋_GB2312" w:hAnsi="仿宋_GB2312" w:eastAsia="仿宋_GB2312" w:cs="仿宋_GB2312"/>
          <w:spacing w:val="-6"/>
          <w:kern w:val="0"/>
          <w:sz w:val="32"/>
          <w:szCs w:val="32"/>
        </w:rPr>
      </w:pPr>
      <w:r>
        <w:rPr>
          <w:rFonts w:hint="eastAsia" w:ascii="方正黑体_GBK" w:hAnsi="方正黑体_GBK" w:eastAsia="方正黑体_GBK" w:cs="方正黑体_GBK"/>
          <w:spacing w:val="-6"/>
          <w:kern w:val="0"/>
          <w:sz w:val="32"/>
          <w:szCs w:val="32"/>
        </w:rPr>
        <w:t>第四章</w:t>
      </w:r>
      <w:r>
        <w:rPr>
          <w:rFonts w:hint="eastAsia" w:ascii="方正黑体_GBK" w:hAnsi="方正黑体_GBK" w:eastAsia="方正黑体_GBK" w:cs="方正黑体_GBK"/>
          <w:spacing w:val="-6"/>
          <w:kern w:val="0"/>
          <w:sz w:val="32"/>
          <w:szCs w:val="32"/>
          <w:lang w:val="en-US" w:eastAsia="zh-CN"/>
        </w:rPr>
        <w:t xml:space="preserve">  </w:t>
      </w:r>
      <w:r>
        <w:rPr>
          <w:rFonts w:hint="eastAsia" w:ascii="方正黑体_GBK" w:hAnsi="方正黑体_GBK" w:eastAsia="方正黑体_GBK" w:cs="方正黑体_GBK"/>
          <w:spacing w:val="-6"/>
          <w:kern w:val="0"/>
          <w:sz w:val="32"/>
          <w:szCs w:val="32"/>
        </w:rPr>
        <w:t>补充医疗保险待遇支付政策</w:t>
      </w:r>
    </w:p>
    <w:p w14:paraId="1EDE119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一、城乡居民大病保险</w:t>
      </w:r>
    </w:p>
    <w:p w14:paraId="4C03FC18">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（一）常规保障</w:t>
      </w:r>
    </w:p>
    <w:p w14:paraId="7A4149C1">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保障范围：参保居民经居民基本医保报销后，</w:t>
      </w:r>
      <w:r>
        <w:rPr>
          <w:rFonts w:hint="eastAsia" w:ascii="仿宋_GB2312" w:hAnsi="仿宋_GB2312" w:cs="仿宋_GB2312"/>
          <w:spacing w:val="-6"/>
          <w:kern w:val="0"/>
          <w:sz w:val="32"/>
          <w:szCs w:val="32"/>
          <w:lang w:val="en-US" w:eastAsia="zh-CN"/>
        </w:rPr>
        <w:t>超过大病保险起付标准的</w:t>
      </w:r>
      <w:r>
        <w:rPr>
          <w:rFonts w:hint="eastAsia" w:ascii="仿宋_GB2312" w:hAnsi="仿宋_GB2312" w:eastAsia="仿宋_GB2312" w:cs="仿宋_GB2312"/>
          <w:spacing w:val="-6"/>
          <w:kern w:val="0"/>
          <w:sz w:val="32"/>
          <w:szCs w:val="32"/>
        </w:rPr>
        <w:t>政策范围内个人</w:t>
      </w:r>
      <w:r>
        <w:rPr>
          <w:rFonts w:hint="eastAsia" w:ascii="仿宋_GB2312" w:hAnsi="仿宋_GB2312" w:cs="仿宋_GB2312"/>
          <w:spacing w:val="-6"/>
          <w:kern w:val="0"/>
          <w:sz w:val="32"/>
          <w:szCs w:val="32"/>
          <w:lang w:val="en-US" w:eastAsia="zh-CN"/>
        </w:rPr>
        <w:t>负担</w:t>
      </w:r>
      <w:r>
        <w:rPr>
          <w:rFonts w:hint="eastAsia" w:ascii="仿宋_GB2312" w:hAnsi="仿宋_GB2312" w:eastAsia="仿宋_GB2312" w:cs="仿宋_GB2312"/>
          <w:spacing w:val="-6"/>
          <w:kern w:val="0"/>
          <w:sz w:val="32"/>
          <w:szCs w:val="32"/>
        </w:rPr>
        <w:t>合规医疗费用，以及门诊慢特病、住院产生的高额费用。</w:t>
      </w:r>
    </w:p>
    <w:p w14:paraId="74908F8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年度起付标准：普通参保居民1.4万元；特困人员、低保对象、返贫致贫人口7000元。</w:t>
      </w:r>
    </w:p>
    <w:p w14:paraId="480BD4B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分段统筹支付比例（普通居民）：政策范围内个人自付合规费用</w:t>
      </w:r>
      <w:r>
        <w:rPr>
          <w:rFonts w:hint="eastAsia" w:ascii="仿宋_GB2312" w:hAnsi="仿宋_GB2312" w:cs="仿宋_GB2312"/>
          <w:spacing w:val="-6"/>
          <w:kern w:val="0"/>
          <w:sz w:val="32"/>
          <w:szCs w:val="32"/>
          <w:lang w:val="en-US" w:eastAsia="zh-CN"/>
        </w:rPr>
        <w:t>1.4</w:t>
      </w:r>
      <w:r>
        <w:rPr>
          <w:rFonts w:hint="eastAsia" w:ascii="仿宋_GB2312" w:hAnsi="仿宋_GB2312" w:eastAsia="仿宋_GB2312" w:cs="仿宋_GB2312"/>
          <w:spacing w:val="-6"/>
          <w:kern w:val="0"/>
          <w:sz w:val="32"/>
          <w:szCs w:val="32"/>
        </w:rPr>
        <w:t>万元（不含）至10万元（不含）部分报销60%；10万元（含）至20万元（不含）部分报销65%；20万元（含）至30万元（不含）部分报销70%；30万元（含）以上部分报销75%。</w:t>
      </w:r>
    </w:p>
    <w:p w14:paraId="25BDD15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困难群体倾斜：特困、低保、返贫致贫人口</w:t>
      </w:r>
      <w:r>
        <w:rPr>
          <w:rFonts w:hint="eastAsia" w:ascii="仿宋_GB2312" w:hAnsi="仿宋_GB2312" w:cs="仿宋_GB2312"/>
          <w:spacing w:val="-6"/>
          <w:kern w:val="0"/>
          <w:sz w:val="32"/>
          <w:szCs w:val="32"/>
          <w:lang w:val="en-US" w:eastAsia="zh-CN"/>
        </w:rPr>
        <w:t>在对应起付线上，</w:t>
      </w:r>
      <w:r>
        <w:rPr>
          <w:rFonts w:hint="eastAsia" w:ascii="仿宋_GB2312" w:hAnsi="仿宋_GB2312" w:eastAsia="仿宋_GB2312" w:cs="仿宋_GB2312"/>
          <w:spacing w:val="-6"/>
          <w:kern w:val="0"/>
          <w:sz w:val="32"/>
          <w:szCs w:val="32"/>
        </w:rPr>
        <w:t>各分段支付比例统一提高5个百分点。</w:t>
      </w:r>
    </w:p>
    <w:p w14:paraId="7D7D4D6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年度支付限额：普通参保居民40万元；特困、低保、返贫致贫人口不设封顶线。对特困、低保、返贫致贫人口年度大病保险累计报销40万元以内的实时联网结算；年度累计报销超40万元的系统后台预警，医保部门联合临床专家开展人工审核后结算。</w:t>
      </w:r>
    </w:p>
    <w:p w14:paraId="64DE3BBC">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（二）罕见病特殊药品保障</w:t>
      </w:r>
    </w:p>
    <w:p w14:paraId="61C8E30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戈谢病、庞贝氏病、法布雷病三类罕见病专用特效药实行单独列支保障，不占用普通居民大病保险年度支付限额；政策范围内个人自付费用年度起付标准2万元，2万元（不含）—40万元（含）部分报销80%，40万元以上部分报销85%，年度基金最高支付90万元。</w:t>
      </w:r>
    </w:p>
    <w:p w14:paraId="2BEB835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二、职工大额医疗费用补助（职工大病保险）</w:t>
      </w:r>
    </w:p>
    <w:p w14:paraId="424EE2E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保障范围：普通门诊超出统筹支付年度限额后1000元封顶内的</w:t>
      </w:r>
      <w:r>
        <w:rPr>
          <w:rFonts w:hint="eastAsia" w:ascii="仿宋_GB2312" w:hAnsi="仿宋_GB2312" w:cs="仿宋_GB2312"/>
          <w:spacing w:val="-6"/>
          <w:kern w:val="0"/>
          <w:sz w:val="32"/>
          <w:szCs w:val="32"/>
          <w:lang w:val="en-US" w:eastAsia="zh-CN"/>
        </w:rPr>
        <w:t>合规</w:t>
      </w:r>
      <w:r>
        <w:rPr>
          <w:rFonts w:hint="eastAsia" w:ascii="仿宋_GB2312" w:hAnsi="仿宋_GB2312" w:eastAsia="仿宋_GB2312" w:cs="仿宋_GB2312"/>
          <w:spacing w:val="-6"/>
          <w:kern w:val="0"/>
          <w:sz w:val="32"/>
          <w:szCs w:val="32"/>
        </w:rPr>
        <w:t>费用；职工基本医保年度统筹支付20万元以上的合规住院、门诊慢特病费用；自然年度内政策范围内个人</w:t>
      </w:r>
      <w:r>
        <w:rPr>
          <w:rFonts w:hint="eastAsia" w:ascii="仿宋_GB2312" w:hAnsi="仿宋_GB2312" w:cs="仿宋_GB2312"/>
          <w:spacing w:val="-6"/>
          <w:kern w:val="0"/>
          <w:sz w:val="32"/>
          <w:szCs w:val="32"/>
          <w:lang w:val="en-US" w:eastAsia="zh-CN"/>
        </w:rPr>
        <w:t>负担</w:t>
      </w:r>
      <w:r>
        <w:rPr>
          <w:rFonts w:hint="eastAsia" w:ascii="仿宋_GB2312" w:hAnsi="仿宋_GB2312" w:eastAsia="仿宋_GB2312" w:cs="仿宋_GB2312"/>
          <w:spacing w:val="-6"/>
          <w:kern w:val="0"/>
          <w:sz w:val="32"/>
          <w:szCs w:val="32"/>
        </w:rPr>
        <w:t>的住院、门诊慢特病高额费用。</w:t>
      </w:r>
    </w:p>
    <w:p w14:paraId="0000A20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两项保障额度分开核算、互不占用对方年度限额，结算顺序为先报销普通门诊超年度统筹限额部分费用，再报销年度政策范围内累计高额个人自付费用：</w:t>
      </w:r>
    </w:p>
    <w:p w14:paraId="6E3341E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职工基本医保年度统筹20万元封顶线以上的住院、慢特病合规费用，基金按90%支付，年度单独封顶45万元；</w:t>
      </w:r>
    </w:p>
    <w:p w14:paraId="161FB631">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一个自然年度内，参保职工政策范围内个人累计自付合规费用超过2万元的部分，基金按70%支付，年度单独封顶40万元。特困、低保、返贫致贫人口不设封顶线。对特困、低保、返贫致贫人口年度大病保险累计报销40万元以内的实时联网结算；年度累计报销超40万元的系统后台预警，医保部门联合临床专家开展人工审核后结算。</w:t>
      </w:r>
    </w:p>
    <w:p w14:paraId="520D17A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罕见病特殊药品保障：戈谢病、庞贝氏病、法布雷病三类罕见病专用特效药单独列支保障，年度起付标准2万元；2万元—40万元部分报销80%，40万元及以上部分报销85%，年度最高支付90万元。</w:t>
      </w:r>
    </w:p>
    <w:p w14:paraId="01FB4B35">
      <w:pPr>
        <w:pStyle w:val="11"/>
        <w:pageBreakBefore w:val="0"/>
        <w:widowControl/>
        <w:numPr>
          <w:ilvl w:val="0"/>
          <w:numId w:val="0"/>
        </w:numPr>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第五章</w:t>
      </w:r>
      <w:r>
        <w:rPr>
          <w:rFonts w:hint="eastAsia" w:ascii="方正黑体_GBK" w:hAnsi="方正黑体_GBK" w:eastAsia="方正黑体_GBK" w:cs="方正黑体_GBK"/>
          <w:spacing w:val="-6"/>
          <w:kern w:val="0"/>
          <w:sz w:val="32"/>
          <w:szCs w:val="32"/>
          <w:lang w:val="en-US" w:eastAsia="zh-CN"/>
        </w:rPr>
        <w:t xml:space="preserve">  </w:t>
      </w:r>
      <w:r>
        <w:rPr>
          <w:rFonts w:hint="eastAsia" w:ascii="方正黑体_GBK" w:hAnsi="方正黑体_GBK" w:eastAsia="方正黑体_GBK" w:cs="方正黑体_GBK"/>
          <w:spacing w:val="-6"/>
          <w:kern w:val="0"/>
          <w:sz w:val="32"/>
          <w:szCs w:val="32"/>
        </w:rPr>
        <w:t>医疗救助政策</w:t>
      </w:r>
    </w:p>
    <w:p w14:paraId="127A32D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一、救助对象</w:t>
      </w:r>
    </w:p>
    <w:p w14:paraId="0AC37B7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重点救助对象：特困人员、低保对象、返贫致贫人口；</w:t>
      </w:r>
    </w:p>
    <w:p w14:paraId="27B3D1E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一般救助对象：低保边缘家庭成员、防止返贫监测对象；</w:t>
      </w:r>
    </w:p>
    <w:p w14:paraId="76CEC78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专项救助对象：刚性支出困难家庭大病患者。</w:t>
      </w:r>
    </w:p>
    <w:p w14:paraId="694A842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二、保障范围</w:t>
      </w:r>
    </w:p>
    <w:p w14:paraId="5B449D2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医疗救助对象在定点医疗机构发生的住院、门诊慢特病费用中，经基本医保、大病保险报销后剩余的政策范围内个人自付医疗</w:t>
      </w:r>
      <w:r>
        <w:rPr>
          <w:rFonts w:hint="eastAsia" w:ascii="仿宋_GB2312" w:hAnsi="仿宋_GB2312" w:eastAsia="仿宋_GB2312" w:cs="仿宋_GB2312"/>
          <w:spacing wpsCustomData:val="-6" w:val="10"/>
          <w:kern w:val="0"/>
          <w:sz w:val="32"/>
          <w:szCs w:val="32"/>
        </w:rPr>
        <w:t>费</w:t>
      </w:r>
      <w:r>
        <w:rPr>
          <w:rFonts w:hint="eastAsia" w:ascii="仿宋_GB2312" w:hAnsi="仿宋_GB2312" w:eastAsia="仿宋_GB2312" w:cs="仿宋_GB2312"/>
          <w:spacing wpsCustomData:val="-6" w:val="11"/>
          <w:kern w:val="0"/>
          <w:sz w:val="32"/>
          <w:szCs w:val="32"/>
        </w:rPr>
        <w:t>用</w:t>
      </w:r>
      <w:r>
        <w:rPr>
          <w:rFonts w:hint="eastAsia" w:ascii="仿宋_GB2312" w:hAnsi="仿宋_GB2312" w:eastAsia="仿宋_GB2312" w:cs="仿宋_GB2312"/>
          <w:spacing wpsCustomData:val="-6" w:val="10"/>
          <w:kern w:val="0"/>
          <w:sz w:val="32"/>
          <w:szCs w:val="32"/>
        </w:rPr>
        <w:t>；</w:t>
      </w:r>
      <w:r>
        <w:rPr>
          <w:rFonts w:hint="eastAsia" w:ascii="仿宋_GB2312" w:hAnsi="仿宋_GB2312" w:eastAsia="仿宋_GB2312" w:cs="仿宋_GB2312"/>
          <w:spacing wpsCustomData:val="-6" w:val="11"/>
          <w:kern w:val="0"/>
          <w:sz w:val="32"/>
          <w:szCs w:val="32"/>
        </w:rPr>
        <w:t>目录外自费药</w:t>
      </w:r>
      <w:r>
        <w:rPr>
          <w:rFonts w:hint="eastAsia" w:ascii="仿宋_GB2312" w:hAnsi="仿宋_GB2312" w:eastAsia="仿宋_GB2312" w:cs="仿宋_GB2312"/>
          <w:spacing wpsCustomData:val="-6" w:val="10"/>
          <w:kern w:val="0"/>
          <w:sz w:val="32"/>
          <w:szCs w:val="32"/>
        </w:rPr>
        <w:t>品</w:t>
      </w:r>
      <w:r>
        <w:rPr>
          <w:rFonts w:hint="eastAsia" w:ascii="仿宋_GB2312" w:hAnsi="仿宋_GB2312" w:eastAsia="仿宋_GB2312" w:cs="仿宋_GB2312"/>
          <w:spacing wpsCustomData:val="-6" w:val="11"/>
          <w:kern w:val="0"/>
          <w:sz w:val="32"/>
          <w:szCs w:val="32"/>
        </w:rPr>
        <w:t>、</w:t>
      </w:r>
      <w:r>
        <w:rPr>
          <w:rFonts w:hint="eastAsia" w:ascii="仿宋_GB2312" w:hAnsi="仿宋_GB2312" w:eastAsia="仿宋_GB2312" w:cs="仿宋_GB2312"/>
          <w:spacing wpsCustomData:val="-6" w:val="10"/>
          <w:kern w:val="0"/>
          <w:sz w:val="32"/>
          <w:szCs w:val="32"/>
        </w:rPr>
        <w:t>耗</w:t>
      </w:r>
      <w:r>
        <w:rPr>
          <w:rFonts w:hint="eastAsia" w:ascii="仿宋_GB2312" w:hAnsi="仿宋_GB2312" w:eastAsia="仿宋_GB2312" w:cs="仿宋_GB2312"/>
          <w:spacing wpsCustomData:val="-6" w:val="11"/>
          <w:kern w:val="0"/>
          <w:sz w:val="32"/>
          <w:szCs w:val="32"/>
        </w:rPr>
        <w:t>材</w:t>
      </w:r>
      <w:r>
        <w:rPr>
          <w:rFonts w:hint="eastAsia" w:ascii="仿宋_GB2312" w:hAnsi="仿宋_GB2312" w:eastAsia="仿宋_GB2312" w:cs="仿宋_GB2312"/>
          <w:spacing wpsCustomData:val="-6" w:val="10"/>
          <w:kern w:val="0"/>
          <w:sz w:val="32"/>
          <w:szCs w:val="32"/>
        </w:rPr>
        <w:t>、</w:t>
      </w:r>
      <w:r>
        <w:rPr>
          <w:rFonts w:hint="eastAsia" w:ascii="仿宋_GB2312" w:hAnsi="仿宋_GB2312" w:eastAsia="仿宋_GB2312" w:cs="仿宋_GB2312"/>
          <w:spacing wpsCustomData:val="-6" w:val="11"/>
          <w:kern w:val="0"/>
          <w:sz w:val="32"/>
          <w:szCs w:val="32"/>
        </w:rPr>
        <w:t>服务项目不纳入救助核</w:t>
      </w:r>
      <w:r>
        <w:rPr>
          <w:rFonts w:hint="eastAsia" w:ascii="仿宋_GB2312" w:hAnsi="仿宋_GB2312" w:eastAsia="仿宋_GB2312" w:cs="仿宋_GB2312"/>
          <w:spacing wpsCustomData:val="-6" w:val="-6"/>
          <w:kern w:val="0"/>
          <w:sz w:val="32"/>
          <w:szCs w:val="32"/>
        </w:rPr>
        <w:t>算</w:t>
      </w:r>
      <w:r>
        <w:rPr>
          <w:rFonts w:hint="eastAsia" w:ascii="仿宋_GB2312" w:hAnsi="仿宋_GB2312" w:eastAsia="仿宋_GB2312" w:cs="仿宋_GB2312"/>
          <w:spacing w:val="-6"/>
          <w:kern w:val="0"/>
          <w:sz w:val="32"/>
          <w:szCs w:val="32"/>
        </w:rPr>
        <w:t>基数。</w:t>
      </w:r>
    </w:p>
    <w:p w14:paraId="239FC9C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三、基础救助</w:t>
      </w:r>
    </w:p>
    <w:p w14:paraId="4716343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特困、低保、返贫致贫人口：经基本医保、大病保险报销后的政策范围内个人自付费用，不设置救助起付标准，按70%比例给予救助；年度救助限额3万元。</w:t>
      </w:r>
    </w:p>
    <w:p w14:paraId="691247C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低保边缘、防止返贫监测对象：经基本医保、大病保险报销后，年度累计政策范围内个人自付费用超出3000元的部分，按50%比例给予救助；年度救助限额3万元。</w:t>
      </w:r>
    </w:p>
    <w:p w14:paraId="06A6CEE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刚性支出困难家庭大病患者：经基本医保、大病保险报销后，年度累计政策范围内个人自付费用超出9000元的部分，按60%比例给予救助；年度救助限额3万元。</w:t>
      </w:r>
    </w:p>
    <w:p w14:paraId="5D6AEC89">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四、倾斜再救助</w:t>
      </w:r>
    </w:p>
    <w:p w14:paraId="7FA91A3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特困、低保、返贫致贫人口：经基本医疗保险、大病保险、基础医疗救助三重保障报销完毕后，剩余政策范围内个人自付合规费用超出5000元的部分，按70%比例给予倾斜再救助，年度再救助限额2万元；</w:t>
      </w:r>
    </w:p>
    <w:p w14:paraId="66B2FD6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低保边缘、防止返贫监测对象：经基本医疗保险、大病保险、基础医疗救助三重保障报销完毕后，剩余政策范围内个人自付合规费用超出1万元的部分，按70%比例给予倾斜再救助，年度再救助限额2万元。</w:t>
      </w:r>
    </w:p>
    <w:p w14:paraId="4B5575D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五、就医与报销管理</w:t>
      </w:r>
    </w:p>
    <w:p w14:paraId="69C8A6D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lang w:eastAsia="zh-CN"/>
        </w:rPr>
      </w:pPr>
      <w:r>
        <w:rPr>
          <w:rFonts w:hint="eastAsia" w:ascii="仿宋_GB2312" w:hAnsi="仿宋_GB2312" w:eastAsia="仿宋_GB2312" w:cs="仿宋_GB2312"/>
          <w:spacing w:val="-6"/>
          <w:kern w:val="0"/>
          <w:sz w:val="32"/>
          <w:szCs w:val="32"/>
        </w:rPr>
        <w:t>市域全部公立定点医疗机构自动纳入医疗救助定点，救助对象可自主选择就医</w:t>
      </w:r>
      <w:r>
        <w:rPr>
          <w:rFonts w:hint="eastAsia" w:ascii="仿宋_GB2312" w:hAnsi="仿宋_GB2312" w:cs="仿宋_GB2312"/>
          <w:spacing w:val="-6"/>
          <w:kern w:val="0"/>
          <w:sz w:val="32"/>
          <w:szCs w:val="32"/>
          <w:lang w:eastAsia="zh-CN"/>
        </w:rPr>
        <w:t>。</w:t>
      </w:r>
    </w:p>
    <w:p w14:paraId="74DEC3C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倾斜再救助仅限规范转诊且在省域内定点医疗机构就医的救助对象，刚性支出困难家庭大病患者不享受倾斜再救助待遇。</w:t>
      </w:r>
    </w:p>
    <w:p w14:paraId="0104AD9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除急诊抢救情形外，在非医疗救助定点医疗机构住院产生的可救助费用，由个人全额先行垫付；出院后携带完整病历、医疗收费票据、身份证明、救助身份佐证材料，至救助身份认定地医保经办窗口申请手工报销。</w:t>
      </w:r>
    </w:p>
    <w:p w14:paraId="38486A9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新增、调整精神类医疗救助定点医疗机构的，申请单位须依据</w:t>
      </w:r>
      <w:r>
        <w:rPr>
          <w:rFonts w:hint="eastAsia" w:ascii="仿宋_GB2312" w:hAnsi="仿宋_GB2312" w:eastAsia="仿宋_GB2312" w:cs="仿宋_GB2312"/>
          <w:spacing wpsCustomData:val="-6" w:val="3"/>
          <w:kern w:val="0"/>
          <w:sz w:val="32"/>
          <w:szCs w:val="32"/>
        </w:rPr>
        <w:t>鲁医保发〔</w:t>
      </w:r>
      <w:r>
        <w:rPr>
          <w:rFonts w:hint="eastAsia" w:ascii="仿宋_GB2312" w:hAnsi="仿宋_GB2312" w:eastAsia="仿宋_GB2312" w:cs="仿宋_GB2312"/>
          <w:spacing wpsCustomData:val="-6" w:val="-6"/>
          <w:kern w:val="0"/>
          <w:sz w:val="32"/>
          <w:szCs w:val="32"/>
        </w:rPr>
        <w:t>202</w:t>
      </w:r>
      <w:r>
        <w:rPr>
          <w:rFonts w:hint="eastAsia" w:ascii="仿宋_GB2312" w:hAnsi="仿宋_GB2312" w:eastAsia="仿宋_GB2312" w:cs="仿宋_GB2312"/>
          <w:spacing wpsCustomData:val="-6" w:val="3"/>
          <w:kern w:val="0"/>
          <w:sz w:val="32"/>
          <w:szCs w:val="32"/>
        </w:rPr>
        <w:t>6〕</w:t>
      </w:r>
      <w:r>
        <w:rPr>
          <w:rFonts w:hint="eastAsia" w:ascii="仿宋_GB2312" w:hAnsi="仿宋_GB2312" w:eastAsia="仿宋_GB2312" w:cs="仿宋_GB2312"/>
          <w:spacing wpsCustomData:val="-6" w:val="-6"/>
          <w:kern w:val="0"/>
          <w:sz w:val="32"/>
          <w:szCs w:val="32"/>
        </w:rPr>
        <w:t>1</w:t>
      </w:r>
      <w:r>
        <w:rPr>
          <w:rFonts w:hint="eastAsia" w:ascii="仿宋_GB2312" w:hAnsi="仿宋_GB2312" w:eastAsia="仿宋_GB2312" w:cs="仿宋_GB2312"/>
          <w:spacing wpsCustomData:val="-6" w:val="-37"/>
          <w:kern w:val="0"/>
          <w:sz w:val="32"/>
          <w:szCs w:val="32"/>
        </w:rPr>
        <w:t>9</w:t>
      </w:r>
      <w:r>
        <w:rPr>
          <w:rFonts w:hint="eastAsia" w:ascii="仿宋_GB2312" w:hAnsi="仿宋_GB2312" w:eastAsia="仿宋_GB2312" w:cs="仿宋_GB2312"/>
          <w:spacing wpsCustomData:val="-6" w:val="3"/>
          <w:kern w:val="0"/>
          <w:sz w:val="32"/>
          <w:szCs w:val="32"/>
        </w:rPr>
        <w:t>号文件相关规定，报枣庄市医保局审</w:t>
      </w:r>
      <w:r>
        <w:rPr>
          <w:rFonts w:hint="eastAsia" w:ascii="仿宋_GB2312" w:hAnsi="仿宋_GB2312" w:eastAsia="仿宋_GB2312" w:cs="仿宋_GB2312"/>
          <w:spacing wpsCustomData:val="-6" w:val="-6"/>
          <w:kern w:val="0"/>
          <w:sz w:val="32"/>
          <w:szCs w:val="32"/>
        </w:rPr>
        <w:t>核</w:t>
      </w:r>
      <w:r>
        <w:rPr>
          <w:rFonts w:hint="eastAsia" w:ascii="仿宋_GB2312" w:hAnsi="仿宋_GB2312" w:eastAsia="仿宋_GB2312" w:cs="仿宋_GB2312"/>
          <w:spacing w:val="-6"/>
          <w:kern w:val="0"/>
          <w:sz w:val="32"/>
          <w:szCs w:val="32"/>
        </w:rPr>
        <w:t>备案。</w:t>
      </w:r>
    </w:p>
    <w:p w14:paraId="68248799">
      <w:pPr>
        <w:pStyle w:val="11"/>
        <w:pageBreakBefore w:val="0"/>
        <w:widowControl/>
        <w:numPr>
          <w:ilvl w:val="0"/>
          <w:numId w:val="0"/>
        </w:numPr>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第六章</w:t>
      </w:r>
      <w:r>
        <w:rPr>
          <w:rFonts w:hint="eastAsia" w:ascii="方正黑体_GBK" w:hAnsi="方正黑体_GBK" w:eastAsia="方正黑体_GBK" w:cs="方正黑体_GBK"/>
          <w:spacing w:val="-6"/>
          <w:kern w:val="0"/>
          <w:sz w:val="32"/>
          <w:szCs w:val="32"/>
          <w:lang w:val="en-US" w:eastAsia="zh-CN"/>
        </w:rPr>
        <w:t xml:space="preserve">  </w:t>
      </w:r>
      <w:r>
        <w:rPr>
          <w:rFonts w:hint="eastAsia" w:ascii="方正黑体_GBK" w:hAnsi="方正黑体_GBK" w:eastAsia="方正黑体_GBK" w:cs="方正黑体_GBK"/>
          <w:spacing w:val="-6"/>
          <w:kern w:val="0"/>
          <w:sz w:val="32"/>
          <w:szCs w:val="32"/>
        </w:rPr>
        <w:t>生育保险待遇支付政策</w:t>
      </w:r>
    </w:p>
    <w:p w14:paraId="0CD08AB9">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一、参保相关</w:t>
      </w:r>
    </w:p>
    <w:p w14:paraId="02453D2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本市用人单位在职职工参加职工基本医疗保险，同步纳入生育保险参保范围。生育保险费由用人单位全额缴纳，职工个人不缴费；单位正常足额缴费的，在职职工依规享受全部生育保险待遇。参加职工医保的灵活就业人员，按规定享受生育医疗费待遇，不享受生育津贴</w:t>
      </w:r>
      <w:r>
        <w:rPr>
          <w:rFonts w:hint="eastAsia" w:ascii="仿宋_GB2312" w:hAnsi="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参加生育保险的男职工的参保未就业配偶，按照参保女职工待遇标准享受生育医疗费待遇，不享受生育津贴。</w:t>
      </w:r>
    </w:p>
    <w:p w14:paraId="35D0593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二、生育医疗费用待遇保障范围</w:t>
      </w:r>
    </w:p>
    <w:p w14:paraId="727F8B7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包含政策范围内住院分娩医疗费、产前检查费，早孕/中期/晚期流引产医疗费、计划生育手术费，以及</w:t>
      </w:r>
      <w:r>
        <w:rPr>
          <w:rFonts w:hint="eastAsia" w:ascii="仿宋_GB2312" w:hAnsi="仿宋_GB2312" w:cs="仿宋_GB2312"/>
          <w:spacing w:val="-6"/>
          <w:kern w:val="0"/>
          <w:sz w:val="32"/>
          <w:szCs w:val="32"/>
          <w:lang w:val="en-US" w:eastAsia="zh-CN"/>
        </w:rPr>
        <w:t>生育</w:t>
      </w:r>
      <w:r>
        <w:rPr>
          <w:rFonts w:hint="eastAsia" w:ascii="仿宋_GB2312" w:hAnsi="仿宋_GB2312" w:eastAsia="仿宋_GB2312" w:cs="仿宋_GB2312"/>
          <w:spacing w:val="-6"/>
          <w:kern w:val="0"/>
          <w:sz w:val="32"/>
          <w:szCs w:val="32"/>
        </w:rPr>
        <w:t>相关并发症、合并症</w:t>
      </w:r>
      <w:r>
        <w:rPr>
          <w:rFonts w:hint="eastAsia" w:ascii="仿宋_GB2312" w:hAnsi="仿宋_GB2312" w:cs="仿宋_GB2312"/>
          <w:spacing w:val="-6"/>
          <w:kern w:val="0"/>
          <w:sz w:val="32"/>
          <w:szCs w:val="32"/>
          <w:lang w:val="en-US" w:eastAsia="zh-CN"/>
        </w:rPr>
        <w:t>合规</w:t>
      </w:r>
      <w:r>
        <w:rPr>
          <w:rFonts w:hint="eastAsia" w:ascii="仿宋_GB2312" w:hAnsi="仿宋_GB2312" w:eastAsia="仿宋_GB2312" w:cs="仿宋_GB2312"/>
          <w:spacing w:val="-6"/>
          <w:kern w:val="0"/>
          <w:sz w:val="32"/>
          <w:szCs w:val="32"/>
        </w:rPr>
        <w:t>医疗费用。</w:t>
      </w:r>
    </w:p>
    <w:p w14:paraId="2652BDF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三、生育医疗费待遇标准</w:t>
      </w:r>
    </w:p>
    <w:p w14:paraId="256180C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政策范围内住院分娩</w:t>
      </w:r>
      <w:r>
        <w:rPr>
          <w:rFonts w:hint="eastAsia" w:ascii="仿宋_GB2312" w:hAnsi="仿宋_GB2312" w:cs="仿宋_GB2312"/>
          <w:spacing w:val="-6"/>
          <w:kern w:val="0"/>
          <w:sz w:val="32"/>
          <w:szCs w:val="32"/>
          <w:lang w:val="en-US" w:eastAsia="zh-CN"/>
        </w:rPr>
        <w:t>当次</w:t>
      </w:r>
      <w:r>
        <w:rPr>
          <w:rFonts w:hint="eastAsia" w:ascii="仿宋_GB2312" w:hAnsi="仿宋_GB2312" w:eastAsia="仿宋_GB2312" w:cs="仿宋_GB2312"/>
          <w:spacing w:val="-6"/>
          <w:kern w:val="0"/>
          <w:sz w:val="32"/>
          <w:szCs w:val="32"/>
        </w:rPr>
        <w:t>医疗费用</w:t>
      </w:r>
      <w:r>
        <w:rPr>
          <w:rFonts w:hint="eastAsia" w:ascii="仿宋_GB2312" w:hAnsi="仿宋_GB2312" w:cs="仿宋_GB2312"/>
          <w:spacing w:val="-6"/>
          <w:kern w:val="0"/>
          <w:sz w:val="32"/>
          <w:szCs w:val="32"/>
          <w:lang w:val="en-US" w:eastAsia="zh-CN"/>
        </w:rPr>
        <w:t>由</w:t>
      </w:r>
      <w:r>
        <w:rPr>
          <w:rFonts w:hint="eastAsia" w:ascii="仿宋_GB2312" w:hAnsi="仿宋_GB2312" w:eastAsia="仿宋_GB2312" w:cs="仿宋_GB2312"/>
          <w:spacing w:val="-6"/>
          <w:kern w:val="0"/>
          <w:sz w:val="32"/>
          <w:szCs w:val="32"/>
        </w:rPr>
        <w:t>统筹基金全额支付。</w:t>
      </w:r>
    </w:p>
    <w:p w14:paraId="1C2E2A9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产前检查费纳入职工普通门诊统筹，按门诊统筹标准支付。</w:t>
      </w:r>
    </w:p>
    <w:p w14:paraId="7BDB9B6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流引产医疗费用实行定额补助标准：早孕流产（妊娠不足12周）定额100元；中期引产（妊娠12—28周）定额300元；晚期引产（妊娠28周及以上）定额600元。实际合规费用低于定额</w:t>
      </w:r>
      <w:r>
        <w:rPr>
          <w:rFonts w:hint="eastAsia" w:ascii="仿宋_GB2312" w:hAnsi="仿宋_GB2312" w:cs="仿宋_GB2312"/>
          <w:spacing w:val="-6"/>
          <w:kern w:val="0"/>
          <w:sz w:val="32"/>
          <w:szCs w:val="32"/>
          <w:lang w:val="en-US" w:eastAsia="zh-CN"/>
        </w:rPr>
        <w:t>据</w:t>
      </w:r>
      <w:r>
        <w:rPr>
          <w:rFonts w:hint="eastAsia" w:ascii="仿宋_GB2312" w:hAnsi="仿宋_GB2312" w:eastAsia="仿宋_GB2312" w:cs="仿宋_GB2312"/>
          <w:spacing w:val="-6"/>
          <w:kern w:val="0"/>
          <w:sz w:val="32"/>
          <w:szCs w:val="32"/>
        </w:rPr>
        <w:t>实结算，超出定额部分个人自付。</w:t>
      </w:r>
    </w:p>
    <w:p w14:paraId="62E296EC">
      <w:pPr>
        <w:pStyle w:val="11"/>
        <w:pageBreakBefore w:val="0"/>
        <w:widowControl/>
        <w:numPr>
          <w:ilvl w:val="0"/>
          <w:numId w:val="0"/>
        </w:numPr>
        <w:kinsoku/>
        <w:wordWrap/>
        <w:overflowPunct/>
        <w:topLinePunct w:val="0"/>
        <w:autoSpaceDE/>
        <w:autoSpaceDN/>
        <w:bidi w:val="0"/>
        <w:adjustRightInd/>
        <w:snapToGrid/>
        <w:ind w:leftChars="0" w:firstLine="616"/>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psCustomData:val="-6" w:val="14"/>
          <w:kern w:val="0"/>
          <w:sz w:val="32"/>
          <w:szCs w:val="32"/>
        </w:rPr>
        <w:t>计划生育手术费</w:t>
      </w:r>
      <w:r>
        <w:rPr>
          <w:rFonts w:hint="eastAsia" w:ascii="仿宋_GB2312" w:hAnsi="仿宋_GB2312" w:eastAsia="仿宋_GB2312" w:cs="仿宋_GB2312"/>
          <w:spacing wpsCustomData:val="-6" w:val="15"/>
          <w:kern w:val="0"/>
          <w:sz w:val="32"/>
          <w:szCs w:val="32"/>
        </w:rPr>
        <w:t>用</w:t>
      </w:r>
      <w:r>
        <w:rPr>
          <w:rFonts w:hint="eastAsia" w:ascii="仿宋_GB2312" w:hAnsi="仿宋_GB2312" w:eastAsia="仿宋_GB2312" w:cs="仿宋_GB2312"/>
          <w:spacing wpsCustomData:val="-6" w:val="14"/>
          <w:kern w:val="0"/>
          <w:sz w:val="32"/>
          <w:szCs w:val="32"/>
        </w:rPr>
        <w:t>，按省统一核定收费标准</w:t>
      </w:r>
      <w:r>
        <w:rPr>
          <w:rFonts w:hint="eastAsia" w:ascii="仿宋_GB2312" w:hAnsi="仿宋_GB2312" w:eastAsia="仿宋_GB2312" w:cs="仿宋_GB2312"/>
          <w:spacing wpsCustomData:val="-6" w:val="15"/>
          <w:kern w:val="0"/>
          <w:sz w:val="32"/>
          <w:szCs w:val="32"/>
        </w:rPr>
        <w:t>的</w:t>
      </w:r>
      <w:r>
        <w:rPr>
          <w:rFonts w:hint="eastAsia" w:ascii="仿宋_GB2312" w:hAnsi="仿宋_GB2312" w:eastAsia="仿宋_GB2312" w:cs="仿宋_GB2312"/>
          <w:spacing wpsCustomData:val="-6" w:val="-6"/>
          <w:kern w:val="0"/>
          <w:sz w:val="32"/>
          <w:szCs w:val="32"/>
        </w:rPr>
        <w:t>80</w:t>
      </w:r>
      <w:r>
        <w:rPr>
          <w:rFonts w:hint="eastAsia" w:ascii="仿宋_GB2312" w:hAnsi="仿宋_GB2312" w:eastAsia="仿宋_GB2312" w:cs="仿宋_GB2312"/>
          <w:spacing wpsCustomData:val="-6" w:val="14"/>
          <w:kern w:val="0"/>
          <w:sz w:val="32"/>
          <w:szCs w:val="32"/>
        </w:rPr>
        <w:t>%予</w:t>
      </w:r>
      <w:r>
        <w:rPr>
          <w:rFonts w:hint="eastAsia" w:ascii="仿宋_GB2312" w:hAnsi="仿宋_GB2312" w:eastAsia="仿宋_GB2312" w:cs="仿宋_GB2312"/>
          <w:spacing wpsCustomData:val="-6" w:val="-6"/>
          <w:kern w:val="0"/>
          <w:sz w:val="32"/>
          <w:szCs w:val="32"/>
        </w:rPr>
        <w:t>以</w:t>
      </w:r>
      <w:r>
        <w:rPr>
          <w:rFonts w:hint="eastAsia" w:ascii="仿宋_GB2312" w:hAnsi="仿宋_GB2312" w:eastAsia="仿宋_GB2312" w:cs="仿宋_GB2312"/>
          <w:spacing w:val="-6"/>
          <w:kern w:val="0"/>
          <w:sz w:val="32"/>
          <w:szCs w:val="32"/>
        </w:rPr>
        <w:t>补助。</w:t>
      </w:r>
    </w:p>
    <w:p w14:paraId="5DC9282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四、生育津贴待遇</w:t>
      </w:r>
    </w:p>
    <w:p w14:paraId="55603AC9">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机关事业单位女职工产假期间工资由原渠道发放，不享受生育津贴。</w:t>
      </w:r>
    </w:p>
    <w:p w14:paraId="2F0A3B2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计发公式：生育津贴=职工生育或实施计划生育手术时所在用人单位上年度职工月平均缴费工资÷30×</w:t>
      </w:r>
      <w:r>
        <w:rPr>
          <w:rFonts w:hint="eastAsia" w:ascii="仿宋_GB2312" w:hAnsi="仿宋_GB2312" w:cs="仿宋_GB2312"/>
          <w:spacing w:val="-6"/>
          <w:kern w:val="0"/>
          <w:sz w:val="32"/>
          <w:szCs w:val="32"/>
          <w:lang w:val="en-US" w:eastAsia="zh-CN"/>
        </w:rPr>
        <w:t>规定</w:t>
      </w:r>
      <w:r>
        <w:rPr>
          <w:rFonts w:hint="eastAsia" w:ascii="仿宋_GB2312" w:hAnsi="仿宋_GB2312" w:eastAsia="仿宋_GB2312" w:cs="仿宋_GB2312"/>
          <w:spacing w:val="-6"/>
          <w:kern w:val="0"/>
          <w:sz w:val="32"/>
          <w:szCs w:val="32"/>
        </w:rPr>
        <w:t>产假天数；职工生育前跨单位参保的，按照各用人单位的上年度职工月平均</w:t>
      </w:r>
      <w:r>
        <w:rPr>
          <w:rFonts w:hint="eastAsia" w:ascii="仿宋_GB2312" w:hAnsi="仿宋_GB2312" w:cs="仿宋_GB2312"/>
          <w:spacing w:val="-6"/>
          <w:kern w:val="0"/>
          <w:sz w:val="32"/>
          <w:szCs w:val="32"/>
          <w:lang w:val="en-US" w:eastAsia="zh-CN"/>
        </w:rPr>
        <w:t>缴费</w:t>
      </w:r>
      <w:r>
        <w:rPr>
          <w:rFonts w:hint="eastAsia" w:ascii="仿宋_GB2312" w:hAnsi="仿宋_GB2312" w:eastAsia="仿宋_GB2312" w:cs="仿宋_GB2312"/>
          <w:spacing w:val="-6"/>
          <w:kern w:val="0"/>
          <w:sz w:val="32"/>
          <w:szCs w:val="32"/>
        </w:rPr>
        <w:t>工资的加权平均数计发。</w:t>
      </w:r>
    </w:p>
    <w:p w14:paraId="49FED800">
      <w:pPr>
        <w:pStyle w:val="11"/>
        <w:pageBreakBefore w:val="0"/>
        <w:widowControl/>
        <w:numPr>
          <w:ilvl w:val="0"/>
          <w:numId w:val="0"/>
        </w:numPr>
        <w:kinsoku/>
        <w:wordWrap/>
        <w:overflowPunct/>
        <w:topLinePunct w:val="0"/>
        <w:autoSpaceDE/>
        <w:autoSpaceDN/>
        <w:bidi w:val="0"/>
        <w:adjustRightInd/>
        <w:snapToGrid/>
        <w:ind w:leftChars="0" w:firstLine="640" w:firstLineChars="20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法定计发天数：正常生育98天，难产增加15天，多胞胎每多</w:t>
      </w:r>
      <w:r>
        <w:rPr>
          <w:rFonts w:hint="eastAsia" w:ascii="仿宋_GB2312" w:hAnsi="仿宋_GB2312" w:eastAsia="仿宋_GB2312" w:cs="仿宋_GB2312"/>
          <w:spacing wpsCustomData:val="-162" w:val="0"/>
          <w:kern w:val="0"/>
          <w:sz w:val="32"/>
          <w:szCs w:val="32"/>
        </w:rPr>
        <w:t>1</w:t>
      </w:r>
      <w:r>
        <w:rPr>
          <w:rFonts w:hint="eastAsia" w:ascii="仿宋_GB2312" w:hAnsi="仿宋_GB2312" w:eastAsia="仿宋_GB2312" w:cs="仿宋_GB2312"/>
          <w:spacing wpsCustomData:val="34" w:val="0"/>
          <w:kern w:val="0"/>
          <w:sz w:val="32"/>
          <w:szCs w:val="32"/>
        </w:rPr>
        <w:t>胎增加</w:t>
      </w:r>
      <w:r>
        <w:rPr>
          <w:rFonts w:hint="eastAsia" w:ascii="仿宋_GB2312" w:hAnsi="仿宋_GB2312" w:eastAsia="仿宋_GB2312" w:cs="仿宋_GB2312"/>
          <w:spacing wpsCustomData:val="-6" w:val="0"/>
          <w:kern w:val="0"/>
          <w:sz w:val="32"/>
          <w:szCs w:val="32"/>
        </w:rPr>
        <w:t>1</w:t>
      </w:r>
      <w:r>
        <w:rPr>
          <w:rFonts w:hint="eastAsia" w:ascii="仿宋_GB2312" w:hAnsi="仿宋_GB2312" w:eastAsia="仿宋_GB2312" w:cs="仿宋_GB2312"/>
          <w:spacing wpsCustomData:val="-163" w:val="0"/>
          <w:kern w:val="0"/>
          <w:sz w:val="32"/>
          <w:szCs w:val="32"/>
        </w:rPr>
        <w:t>5</w:t>
      </w:r>
      <w:r>
        <w:rPr>
          <w:rFonts w:hint="eastAsia" w:ascii="仿宋_GB2312" w:hAnsi="仿宋_GB2312" w:eastAsia="仿宋_GB2312" w:cs="仿宋_GB2312"/>
          <w:spacing wpsCustomData:val="33" w:val="0"/>
          <w:kern w:val="0"/>
          <w:sz w:val="32"/>
          <w:szCs w:val="32"/>
        </w:rPr>
        <w:t>天</w:t>
      </w:r>
      <w:r>
        <w:rPr>
          <w:rFonts w:hint="eastAsia" w:ascii="仿宋_GB2312" w:hAnsi="仿宋_GB2312" w:eastAsia="仿宋_GB2312" w:cs="仿宋_GB2312"/>
          <w:spacing wpsCustomData:val="34" w:val="0"/>
          <w:kern w:val="0"/>
          <w:sz w:val="32"/>
          <w:szCs w:val="32"/>
        </w:rPr>
        <w:t>；怀孕未满</w:t>
      </w:r>
      <w:r>
        <w:rPr>
          <w:rFonts w:hint="eastAsia" w:ascii="仿宋_GB2312" w:hAnsi="仿宋_GB2312" w:eastAsia="仿宋_GB2312" w:cs="仿宋_GB2312"/>
          <w:spacing wpsCustomData:val="-163" w:val="0"/>
          <w:kern w:val="0"/>
          <w:sz w:val="32"/>
          <w:szCs w:val="32"/>
        </w:rPr>
        <w:t>4</w:t>
      </w:r>
      <w:r>
        <w:rPr>
          <w:rFonts w:hint="eastAsia" w:ascii="仿宋_GB2312" w:hAnsi="仿宋_GB2312" w:eastAsia="仿宋_GB2312" w:cs="仿宋_GB2312"/>
          <w:spacing wpsCustomData:val="33" w:val="0"/>
          <w:kern w:val="0"/>
          <w:sz w:val="32"/>
          <w:szCs w:val="32"/>
        </w:rPr>
        <w:t>个月流</w:t>
      </w:r>
      <w:r>
        <w:rPr>
          <w:rFonts w:hint="eastAsia" w:ascii="仿宋_GB2312" w:hAnsi="仿宋_GB2312" w:eastAsia="仿宋_GB2312" w:cs="仿宋_GB2312"/>
          <w:spacing wpsCustomData:val="36" w:val="0"/>
          <w:kern w:val="0"/>
          <w:sz w:val="32"/>
          <w:szCs w:val="32"/>
        </w:rPr>
        <w:t>产</w:t>
      </w:r>
      <w:r>
        <w:rPr>
          <w:rFonts w:hint="eastAsia" w:ascii="仿宋_GB2312" w:hAnsi="仿宋_GB2312" w:eastAsia="仿宋_GB2312" w:cs="仿宋_GB2312"/>
          <w:spacing wpsCustomData:val="-6" w:val="0"/>
          <w:kern w:val="0"/>
          <w:sz w:val="32"/>
          <w:szCs w:val="32"/>
        </w:rPr>
        <w:t>1</w:t>
      </w:r>
      <w:r>
        <w:rPr>
          <w:rFonts w:hint="eastAsia" w:ascii="仿宋_GB2312" w:hAnsi="仿宋_GB2312" w:eastAsia="仿宋_GB2312" w:cs="仿宋_GB2312"/>
          <w:spacing wpsCustomData:val="-162" w:val="0"/>
          <w:kern w:val="0"/>
          <w:sz w:val="32"/>
          <w:szCs w:val="32"/>
        </w:rPr>
        <w:t>5</w:t>
      </w:r>
      <w:r>
        <w:rPr>
          <w:rFonts w:hint="eastAsia" w:ascii="仿宋_GB2312" w:hAnsi="仿宋_GB2312" w:eastAsia="仿宋_GB2312" w:cs="仿宋_GB2312"/>
          <w:spacing wpsCustomData:val="34" w:val="0"/>
          <w:kern w:val="0"/>
          <w:sz w:val="32"/>
          <w:szCs w:val="32"/>
        </w:rPr>
        <w:t>天</w:t>
      </w:r>
      <w:r>
        <w:rPr>
          <w:rFonts w:hint="eastAsia" w:ascii="仿宋_GB2312" w:hAnsi="仿宋_GB2312" w:eastAsia="仿宋_GB2312" w:cs="仿宋_GB2312"/>
          <w:spacing wpsCustomData:val="33" w:val="0"/>
          <w:kern w:val="0"/>
          <w:sz w:val="32"/>
          <w:szCs w:val="32"/>
        </w:rPr>
        <w:t>，满</w:t>
      </w:r>
      <w:r>
        <w:rPr>
          <w:rFonts w:hint="eastAsia" w:ascii="仿宋_GB2312" w:hAnsi="仿宋_GB2312" w:eastAsia="仿宋_GB2312" w:cs="仿宋_GB2312"/>
          <w:spacing wpsCustomData:val="-162" w:val="0"/>
          <w:kern w:val="0"/>
          <w:sz w:val="32"/>
          <w:szCs w:val="32"/>
        </w:rPr>
        <w:t>4</w:t>
      </w:r>
      <w:r>
        <w:rPr>
          <w:rFonts w:hint="eastAsia" w:ascii="仿宋_GB2312" w:hAnsi="仿宋_GB2312" w:eastAsia="仿宋_GB2312" w:cs="仿宋_GB2312"/>
          <w:spacing wpsCustomData:val="33" w:val="0"/>
          <w:kern w:val="0"/>
          <w:sz w:val="32"/>
          <w:szCs w:val="32"/>
        </w:rPr>
        <w:t>个月流</w:t>
      </w:r>
      <w:r>
        <w:rPr>
          <w:rFonts w:hint="eastAsia" w:ascii="仿宋_GB2312" w:hAnsi="仿宋_GB2312" w:eastAsia="仿宋_GB2312" w:cs="仿宋_GB2312"/>
          <w:spacing wpsCustomData:val="-123" w:val="0"/>
          <w:kern w:val="0"/>
          <w:sz w:val="32"/>
          <w:szCs w:val="32"/>
        </w:rPr>
        <w:t>产</w:t>
      </w:r>
      <w:r>
        <w:rPr>
          <w:rFonts w:hint="eastAsia" w:ascii="仿宋_GB2312" w:hAnsi="仿宋_GB2312" w:eastAsia="仿宋_GB2312" w:cs="仿宋_GB2312"/>
          <w:spacing w:val="0"/>
          <w:kern w:val="0"/>
          <w:sz w:val="32"/>
          <w:szCs w:val="32"/>
        </w:rPr>
        <w:t>42天。</w:t>
      </w:r>
    </w:p>
    <w:p w14:paraId="5459EDD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五、城乡居民生育定额补助</w:t>
      </w:r>
    </w:p>
    <w:p w14:paraId="0FF037F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顺产、剖宫产分孩次设置固定限额补助，实际费用低于限额据实结算，超出限额按封顶标准支付：一孩顺产800元、剖宫产1500元；二孩不分分娩方式统一补助1500元；三孩不分分娩方式统一补助3000元。一胎生育</w:t>
      </w:r>
      <w:r>
        <w:rPr>
          <w:rFonts w:hint="eastAsia" w:ascii="仿宋_GB2312" w:hAnsi="仿宋_GB2312" w:cs="仿宋_GB2312"/>
          <w:spacing w:val="-6"/>
          <w:kern w:val="0"/>
          <w:sz w:val="32"/>
          <w:szCs w:val="32"/>
          <w:lang w:val="en-US" w:eastAsia="zh-CN"/>
        </w:rPr>
        <w:t>多孩</w:t>
      </w:r>
      <w:r>
        <w:rPr>
          <w:rFonts w:hint="eastAsia" w:ascii="仿宋_GB2312" w:hAnsi="仿宋_GB2312" w:eastAsia="仿宋_GB2312" w:cs="仿宋_GB2312"/>
          <w:spacing w:val="-6"/>
          <w:kern w:val="0"/>
          <w:sz w:val="32"/>
          <w:szCs w:val="32"/>
        </w:rPr>
        <w:t>的，按相应孩数享受医保基金定额补助；实际发生费用低于限额的据实结算，超过限额的按限额结算。</w:t>
      </w:r>
    </w:p>
    <w:p w14:paraId="1EDACBA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政策范围</w:t>
      </w:r>
      <w:r>
        <w:rPr>
          <w:rFonts w:hint="eastAsia" w:ascii="仿宋_GB2312" w:hAnsi="仿宋_GB2312" w:cs="仿宋_GB2312"/>
          <w:spacing w:val="-6"/>
          <w:kern w:val="0"/>
          <w:sz w:val="32"/>
          <w:szCs w:val="32"/>
          <w:lang w:val="en-US" w:eastAsia="zh-CN"/>
        </w:rPr>
        <w:t>内</w:t>
      </w:r>
      <w:r>
        <w:rPr>
          <w:rFonts w:hint="eastAsia" w:ascii="仿宋_GB2312" w:hAnsi="仿宋_GB2312" w:eastAsia="仿宋_GB2312" w:cs="仿宋_GB2312"/>
          <w:spacing w:val="-6"/>
          <w:kern w:val="0"/>
          <w:sz w:val="32"/>
          <w:szCs w:val="32"/>
        </w:rPr>
        <w:t>的生育</w:t>
      </w:r>
      <w:r>
        <w:rPr>
          <w:rFonts w:hint="eastAsia" w:ascii="仿宋_GB2312" w:hAnsi="仿宋_GB2312" w:cs="仿宋_GB2312"/>
          <w:spacing w:val="-6"/>
          <w:kern w:val="0"/>
          <w:sz w:val="32"/>
          <w:szCs w:val="32"/>
          <w:lang w:val="en-US" w:eastAsia="zh-CN"/>
        </w:rPr>
        <w:t>相关</w:t>
      </w:r>
      <w:r>
        <w:rPr>
          <w:rFonts w:hint="eastAsia" w:ascii="仿宋_GB2312" w:hAnsi="仿宋_GB2312" w:eastAsia="仿宋_GB2312" w:cs="仿宋_GB2312"/>
          <w:spacing w:val="-6"/>
          <w:kern w:val="0"/>
          <w:sz w:val="32"/>
          <w:szCs w:val="32"/>
        </w:rPr>
        <w:t>并发症</w:t>
      </w:r>
      <w:r>
        <w:rPr>
          <w:rFonts w:hint="eastAsia" w:ascii="仿宋_GB2312" w:hAnsi="仿宋_GB2312" w:cs="仿宋_GB2312"/>
          <w:spacing w:val="-6"/>
          <w:kern w:val="0"/>
          <w:sz w:val="32"/>
          <w:szCs w:val="32"/>
          <w:lang w:eastAsia="zh-CN"/>
        </w:rPr>
        <w:t>、</w:t>
      </w:r>
      <w:r>
        <w:rPr>
          <w:rFonts w:hint="eastAsia" w:ascii="仿宋_GB2312" w:hAnsi="仿宋_GB2312" w:cs="仿宋_GB2312"/>
          <w:spacing w:val="-6"/>
          <w:kern w:val="0"/>
          <w:sz w:val="32"/>
          <w:szCs w:val="32"/>
          <w:lang w:val="en-US" w:eastAsia="zh-CN"/>
        </w:rPr>
        <w:t>合并症</w:t>
      </w:r>
      <w:r>
        <w:rPr>
          <w:rFonts w:hint="eastAsia" w:ascii="仿宋_GB2312" w:hAnsi="仿宋_GB2312" w:eastAsia="仿宋_GB2312" w:cs="仿宋_GB2312"/>
          <w:spacing w:val="-6"/>
          <w:kern w:val="0"/>
          <w:sz w:val="32"/>
          <w:szCs w:val="32"/>
        </w:rPr>
        <w:t>医疗费用按照居民基本医保政策报销。</w:t>
      </w:r>
    </w:p>
    <w:p w14:paraId="7CF77D7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六、辅助生殖待遇</w:t>
      </w:r>
    </w:p>
    <w:p w14:paraId="3FB0FB39">
      <w:pPr>
        <w:pStyle w:val="4"/>
        <w:keepNext w:val="0"/>
        <w:keepLines w:val="0"/>
        <w:widowControl/>
        <w:suppressLineNumbers w:val="0"/>
        <w:jc w:val="left"/>
        <w:rPr>
          <w:b/>
          <w:bCs/>
        </w:rPr>
      </w:pPr>
      <w:r>
        <w:rPr>
          <w:b/>
          <w:bCs/>
        </w:rPr>
        <w:t>（一）支付规则及待遇标准</w:t>
      </w:r>
    </w:p>
    <w:p w14:paraId="5AD1685F">
      <w:pPr>
        <w:keepNext w:val="0"/>
        <w:keepLines w:val="0"/>
        <w:pageBreakBefore w:val="0"/>
        <w:widowControl/>
        <w:suppressLineNumbers w:val="0"/>
        <w:kinsoku/>
        <w:wordWrap/>
        <w:overflowPunct/>
        <w:topLinePunct w:val="0"/>
        <w:autoSpaceDE/>
        <w:autoSpaceDN/>
        <w:bidi w:val="0"/>
        <w:adjustRightInd/>
        <w:snapToGrid/>
        <w:spacing w:line="580" w:lineRule="exact"/>
        <w:ind w:firstLine="616" w:firstLineChars="200"/>
        <w:jc w:val="both"/>
        <w:textAlignment w:val="auto"/>
        <w:rPr>
          <w:rFonts w:hint="eastAsia" w:ascii="仿宋_GB2312" w:hAnsi="仿宋_GB2312" w:eastAsia="仿宋_GB2312" w:cs="仿宋_GB2312"/>
          <w:color w:val="000000" w:themeColor="text1"/>
          <w:spacing w:val="-6"/>
          <w:kern w:val="0"/>
          <w:sz w:val="32"/>
          <w:szCs w:val="32"/>
        </w:rPr>
      </w:pPr>
      <w:r>
        <w:rPr>
          <w:rFonts w:hint="eastAsia" w:ascii="仿宋_GB2312" w:hAnsi="仿宋_GB2312" w:eastAsia="仿宋_GB2312" w:cs="仿宋_GB2312"/>
          <w:color w:val="000000" w:themeColor="text1"/>
          <w:spacing w:val="-6"/>
          <w:kern w:val="0"/>
          <w:sz w:val="32"/>
          <w:szCs w:val="32"/>
          <w:lang w:val="en-US" w:eastAsia="zh-CN"/>
        </w:rPr>
        <w:t>将符合国家、省规范的门诊治疗性辅助生殖医疗服务项目纳入医保基金支付范围，相关待遇统一参照我市门诊慢特病管理政策执行。参保人员发生的合规辅助生殖门诊医疗费用，由个人先行自付20%，剩余合规费用由医保基金按对应险种比例报销，其中职工医保</w:t>
      </w:r>
      <w:r>
        <w:rPr>
          <w:rFonts w:hint="eastAsia" w:cs="仿宋_GB2312"/>
          <w:color w:val="000000" w:themeColor="text1"/>
          <w:spacing w:val="-6"/>
          <w:kern w:val="0"/>
          <w:sz w:val="32"/>
          <w:szCs w:val="32"/>
          <w:lang w:val="en-US" w:eastAsia="zh-CN"/>
        </w:rPr>
        <w:t>支付</w:t>
      </w:r>
      <w:r>
        <w:rPr>
          <w:rFonts w:hint="eastAsia" w:ascii="仿宋_GB2312" w:hAnsi="仿宋_GB2312" w:eastAsia="仿宋_GB2312" w:cs="仿宋_GB2312"/>
          <w:color w:val="000000" w:themeColor="text1"/>
          <w:spacing w:val="-6"/>
          <w:kern w:val="0"/>
          <w:sz w:val="32"/>
          <w:szCs w:val="32"/>
          <w:lang w:val="en-US" w:eastAsia="zh-CN"/>
        </w:rPr>
        <w:t>比例80%、居民医保</w:t>
      </w:r>
      <w:r>
        <w:rPr>
          <w:rFonts w:hint="eastAsia" w:cs="仿宋_GB2312"/>
          <w:color w:val="000000" w:themeColor="text1"/>
          <w:spacing w:val="-6"/>
          <w:kern w:val="0"/>
          <w:sz w:val="32"/>
          <w:szCs w:val="32"/>
          <w:lang w:val="en-US" w:eastAsia="zh-CN"/>
        </w:rPr>
        <w:t>支付</w:t>
      </w:r>
      <w:r>
        <w:rPr>
          <w:rFonts w:hint="eastAsia" w:ascii="仿宋_GB2312" w:hAnsi="仿宋_GB2312" w:eastAsia="仿宋_GB2312" w:cs="仿宋_GB2312"/>
          <w:color w:val="000000" w:themeColor="text1"/>
          <w:spacing w:val="-6"/>
          <w:kern w:val="0"/>
          <w:sz w:val="32"/>
          <w:szCs w:val="32"/>
          <w:lang w:val="en-US" w:eastAsia="zh-CN"/>
        </w:rPr>
        <w:t>比例60%。</w:t>
      </w:r>
    </w:p>
    <w:p w14:paraId="382FB288">
      <w:pPr>
        <w:keepNext w:val="0"/>
        <w:keepLines w:val="0"/>
        <w:pageBreakBefore w:val="0"/>
        <w:widowControl/>
        <w:suppressLineNumbers w:val="0"/>
        <w:kinsoku/>
        <w:wordWrap/>
        <w:overflowPunct/>
        <w:topLinePunct w:val="0"/>
        <w:autoSpaceDE/>
        <w:autoSpaceDN/>
        <w:bidi w:val="0"/>
        <w:adjustRightInd/>
        <w:snapToGrid/>
        <w:spacing w:line="580" w:lineRule="exact"/>
        <w:ind w:firstLine="616" w:firstLineChars="200"/>
        <w:jc w:val="both"/>
        <w:textAlignment w:val="auto"/>
        <w:rPr>
          <w:rFonts w:hint="eastAsia" w:ascii="仿宋_GB2312" w:hAnsi="仿宋_GB2312" w:eastAsia="仿宋_GB2312" w:cs="仿宋_GB2312"/>
          <w:color w:val="000000" w:themeColor="text1"/>
          <w:spacing w:val="-6"/>
          <w:kern w:val="0"/>
          <w:sz w:val="32"/>
          <w:szCs w:val="32"/>
        </w:rPr>
      </w:pPr>
      <w:r>
        <w:rPr>
          <w:rFonts w:hint="eastAsia" w:ascii="仿宋_GB2312" w:hAnsi="仿宋_GB2312" w:eastAsia="仿宋_GB2312" w:cs="仿宋_GB2312"/>
          <w:color w:val="000000" w:themeColor="text1"/>
          <w:spacing w:val="-6"/>
          <w:kern w:val="0"/>
          <w:sz w:val="32"/>
          <w:szCs w:val="32"/>
          <w:lang w:val="en-US" w:eastAsia="zh-CN"/>
        </w:rPr>
        <w:t>辅助生殖医疗费用实行年度限额支付管理。一个医疗年度内，职工基本医保最高支付限额为15000元，居民基本医保最高支付限额为5000元。参保人员经基本医保报销后，个人负担的合规自付医疗费用，可按规定纳入职工大额医疗费用补助（职工大病保险）、居民大病保险支付范围，一个医疗年度内最高支付限额均为2000元。</w:t>
      </w:r>
    </w:p>
    <w:p w14:paraId="27BF8D9E">
      <w:pPr>
        <w:pStyle w:val="4"/>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firstLine="619" w:firstLineChars="200"/>
        <w:jc w:val="both"/>
        <w:textAlignment w:val="auto"/>
        <w:rPr>
          <w:rFonts w:hint="eastAsia" w:ascii="仿宋_GB2312" w:hAnsi="仿宋_GB2312" w:eastAsia="仿宋_GB2312" w:cs="仿宋_GB2312"/>
          <w:b/>
          <w:bCs/>
          <w:color w:val="000000" w:themeColor="text1"/>
          <w:spacing w:val="-6"/>
          <w:kern w:val="0"/>
          <w:sz w:val="32"/>
          <w:szCs w:val="32"/>
        </w:rPr>
      </w:pPr>
      <w:r>
        <w:rPr>
          <w:rFonts w:hint="eastAsia" w:ascii="仿宋_GB2312" w:hAnsi="仿宋_GB2312" w:eastAsia="仿宋_GB2312" w:cs="仿宋_GB2312"/>
          <w:b/>
          <w:bCs/>
          <w:color w:val="000000" w:themeColor="text1"/>
          <w:spacing w:val="-6"/>
          <w:kern w:val="0"/>
          <w:sz w:val="32"/>
          <w:szCs w:val="32"/>
        </w:rPr>
        <w:t>（二）定点医疗机构管理</w:t>
      </w:r>
    </w:p>
    <w:p w14:paraId="3F6EE4E4">
      <w:pPr>
        <w:keepNext w:val="0"/>
        <w:keepLines w:val="0"/>
        <w:pageBreakBefore w:val="0"/>
        <w:widowControl/>
        <w:suppressLineNumbers w:val="0"/>
        <w:kinsoku/>
        <w:wordWrap/>
        <w:overflowPunct/>
        <w:topLinePunct w:val="0"/>
        <w:autoSpaceDE/>
        <w:autoSpaceDN/>
        <w:bidi w:val="0"/>
        <w:adjustRightInd/>
        <w:snapToGrid/>
        <w:spacing w:line="580" w:lineRule="exact"/>
        <w:ind w:firstLine="616" w:firstLineChars="200"/>
        <w:jc w:val="both"/>
        <w:textAlignment w:val="auto"/>
        <w:rPr>
          <w:rFonts w:hint="eastAsia" w:ascii="仿宋_GB2312" w:hAnsi="仿宋_GB2312" w:eastAsia="仿宋_GB2312" w:cs="仿宋_GB2312"/>
          <w:color w:val="000000" w:themeColor="text1"/>
          <w:spacing w:val="-6"/>
          <w:kern w:val="0"/>
          <w:sz w:val="32"/>
          <w:szCs w:val="32"/>
        </w:rPr>
      </w:pPr>
      <w:r>
        <w:rPr>
          <w:rFonts w:hint="eastAsia" w:ascii="仿宋_GB2312" w:hAnsi="仿宋_GB2312" w:eastAsia="仿宋_GB2312" w:cs="仿宋_GB2312"/>
          <w:color w:val="000000" w:themeColor="text1"/>
          <w:spacing w:val="-6"/>
          <w:kern w:val="0"/>
          <w:sz w:val="32"/>
          <w:szCs w:val="32"/>
          <w:lang w:val="en-US" w:eastAsia="zh-CN"/>
        </w:rPr>
        <w:t>我市现有医保定点医疗机构，经卫生健康行政部门依法批准、具备人类辅助生殖技术服务资质的，按照属地管理原则，向同级医保经办机构完成备案登记后，纳入我市辅助生殖医保定点医疗机构范围。医保基金仅支付辅助生殖医保定点医疗机构开展的合规治疗性辅助生殖服务费用，非定点医疗机构发生的费用，以及非治疗性、美容性、保健性辅助生殖相关服务费用，均不纳入医保支付范围。</w:t>
      </w:r>
    </w:p>
    <w:p w14:paraId="3296E969">
      <w:pPr>
        <w:pStyle w:val="4"/>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firstLine="619" w:firstLineChars="200"/>
        <w:jc w:val="both"/>
        <w:textAlignment w:val="auto"/>
        <w:rPr>
          <w:rFonts w:hint="eastAsia" w:ascii="仿宋_GB2312" w:hAnsi="仿宋_GB2312" w:eastAsia="仿宋_GB2312" w:cs="仿宋_GB2312"/>
          <w:b/>
          <w:bCs/>
          <w:color w:val="000000" w:themeColor="text1"/>
          <w:spacing w:val="-6"/>
          <w:kern w:val="0"/>
          <w:sz w:val="32"/>
          <w:szCs w:val="32"/>
        </w:rPr>
      </w:pPr>
      <w:r>
        <w:rPr>
          <w:rFonts w:hint="eastAsia" w:ascii="仿宋_GB2312" w:hAnsi="仿宋_GB2312" w:eastAsia="仿宋_GB2312" w:cs="仿宋_GB2312"/>
          <w:b/>
          <w:bCs/>
          <w:color w:val="000000" w:themeColor="text1"/>
          <w:spacing w:val="-6"/>
          <w:kern w:val="0"/>
          <w:sz w:val="32"/>
          <w:szCs w:val="32"/>
        </w:rPr>
        <w:t>（三）待遇申请备案流程</w:t>
      </w:r>
    </w:p>
    <w:p w14:paraId="1F8BFD1E">
      <w:pPr>
        <w:keepNext w:val="0"/>
        <w:keepLines w:val="0"/>
        <w:pageBreakBefore w:val="0"/>
        <w:widowControl/>
        <w:suppressLineNumbers w:val="0"/>
        <w:kinsoku/>
        <w:wordWrap/>
        <w:overflowPunct/>
        <w:topLinePunct w:val="0"/>
        <w:autoSpaceDE/>
        <w:autoSpaceDN/>
        <w:bidi w:val="0"/>
        <w:adjustRightInd/>
        <w:snapToGrid/>
        <w:spacing w:line="580" w:lineRule="exact"/>
        <w:ind w:firstLine="616" w:firstLineChars="200"/>
        <w:jc w:val="both"/>
        <w:textAlignment w:val="auto"/>
        <w:rPr>
          <w:rFonts w:hint="eastAsia" w:ascii="仿宋_GB2312" w:hAnsi="仿宋_GB2312" w:eastAsia="仿宋_GB2312" w:cs="仿宋_GB2312"/>
          <w:color w:val="000000" w:themeColor="text1"/>
          <w:spacing w:val="-6"/>
          <w:kern w:val="0"/>
          <w:sz w:val="32"/>
          <w:szCs w:val="32"/>
        </w:rPr>
      </w:pPr>
      <w:r>
        <w:rPr>
          <w:rFonts w:hint="eastAsia" w:ascii="仿宋_GB2312" w:hAnsi="仿宋_GB2312" w:eastAsia="仿宋_GB2312" w:cs="仿宋_GB2312"/>
          <w:color w:val="000000" w:themeColor="text1"/>
          <w:spacing w:val="-6"/>
          <w:kern w:val="0"/>
          <w:sz w:val="32"/>
          <w:szCs w:val="32"/>
          <w:lang w:val="en-US" w:eastAsia="zh-CN"/>
        </w:rPr>
        <w:t>我市参保人员确诊不孕不育症，符合辅助生殖诊疗适应症、需要享受辅助生殖医保待遇的，可持有效不孕不育诊断证明、相关病历等佐证材料，向各级医保经办机构或已备案的辅助生殖医保定点医疗机构提交待遇备案申请。经医保经办机构审核确认并完成备案登记后，参保人员方可按规定享受对应辅助生殖医保报销待遇，未完成备案的不予</w:t>
      </w:r>
      <w:r>
        <w:rPr>
          <w:rFonts w:hint="eastAsia" w:cs="仿宋_GB2312"/>
          <w:color w:val="000000" w:themeColor="text1"/>
          <w:spacing w:val="-6"/>
          <w:kern w:val="0"/>
          <w:sz w:val="32"/>
          <w:szCs w:val="32"/>
          <w:lang w:val="en-US" w:eastAsia="zh-CN"/>
        </w:rPr>
        <w:t>支付</w:t>
      </w:r>
      <w:r>
        <w:rPr>
          <w:rFonts w:hint="eastAsia" w:ascii="仿宋_GB2312" w:hAnsi="仿宋_GB2312" w:eastAsia="仿宋_GB2312" w:cs="仿宋_GB2312"/>
          <w:color w:val="000000" w:themeColor="text1"/>
          <w:spacing w:val="-6"/>
          <w:kern w:val="0"/>
          <w:sz w:val="32"/>
          <w:szCs w:val="32"/>
          <w:lang w:val="en-US" w:eastAsia="zh-CN"/>
        </w:rPr>
        <w:t>。</w:t>
      </w:r>
    </w:p>
    <w:p w14:paraId="7CDDD2DD">
      <w:pPr>
        <w:pStyle w:val="4"/>
        <w:keepNext w:val="0"/>
        <w:keepLines w:val="0"/>
        <w:pageBreakBefore w:val="0"/>
        <w:widowControl/>
        <w:suppressLineNumbers w:val="0"/>
        <w:kinsoku/>
        <w:wordWrap/>
        <w:overflowPunct/>
        <w:topLinePunct w:val="0"/>
        <w:autoSpaceDE/>
        <w:autoSpaceDN/>
        <w:bidi w:val="0"/>
        <w:adjustRightInd/>
        <w:snapToGrid/>
        <w:spacing w:beforeLines="0" w:afterLines="0" w:line="580" w:lineRule="exact"/>
        <w:ind w:firstLine="619" w:firstLineChars="200"/>
        <w:jc w:val="both"/>
        <w:textAlignment w:val="auto"/>
        <w:rPr>
          <w:rFonts w:hint="eastAsia" w:ascii="仿宋_GB2312" w:hAnsi="仿宋_GB2312" w:eastAsia="仿宋_GB2312" w:cs="仿宋_GB2312"/>
          <w:b/>
          <w:bCs/>
          <w:color w:val="000000" w:themeColor="text1"/>
          <w:spacing w:val="-6"/>
          <w:kern w:val="0"/>
          <w:sz w:val="32"/>
          <w:szCs w:val="32"/>
        </w:rPr>
      </w:pPr>
      <w:r>
        <w:rPr>
          <w:rFonts w:hint="eastAsia" w:ascii="仿宋_GB2312" w:hAnsi="仿宋_GB2312" w:eastAsia="仿宋_GB2312" w:cs="仿宋_GB2312"/>
          <w:b/>
          <w:bCs/>
          <w:color w:val="000000" w:themeColor="text1"/>
          <w:spacing w:val="-6"/>
          <w:kern w:val="0"/>
          <w:sz w:val="32"/>
          <w:szCs w:val="32"/>
        </w:rPr>
        <w:t>（四）异地就医支付政策</w:t>
      </w:r>
    </w:p>
    <w:p w14:paraId="2C5E7510">
      <w:pPr>
        <w:keepNext w:val="0"/>
        <w:keepLines w:val="0"/>
        <w:pageBreakBefore w:val="0"/>
        <w:widowControl/>
        <w:suppressLineNumbers w:val="0"/>
        <w:kinsoku/>
        <w:wordWrap/>
        <w:overflowPunct/>
        <w:topLinePunct w:val="0"/>
        <w:autoSpaceDE/>
        <w:autoSpaceDN/>
        <w:bidi w:val="0"/>
        <w:adjustRightInd/>
        <w:snapToGrid/>
        <w:spacing w:line="580" w:lineRule="exact"/>
        <w:ind w:firstLine="616" w:firstLineChars="200"/>
        <w:jc w:val="both"/>
        <w:textAlignment w:val="auto"/>
        <w:rPr>
          <w:rFonts w:hint="eastAsia" w:ascii="仿宋_GB2312" w:hAnsi="仿宋_GB2312" w:eastAsia="仿宋_GB2312" w:cs="仿宋_GB2312"/>
          <w:color w:val="000000" w:themeColor="text1"/>
          <w:spacing w:val="-6"/>
          <w:kern w:val="0"/>
          <w:sz w:val="32"/>
          <w:szCs w:val="32"/>
        </w:rPr>
      </w:pPr>
      <w:r>
        <w:rPr>
          <w:rFonts w:hint="eastAsia" w:ascii="仿宋_GB2312" w:hAnsi="仿宋_GB2312" w:eastAsia="仿宋_GB2312" w:cs="仿宋_GB2312"/>
          <w:color w:val="000000" w:themeColor="text1"/>
          <w:spacing w:val="-6"/>
          <w:kern w:val="0"/>
          <w:sz w:val="32"/>
          <w:szCs w:val="32"/>
          <w:lang w:val="en-US" w:eastAsia="zh-CN"/>
        </w:rPr>
        <w:t>参保人员因诊疗需要在市外异地开展辅助生殖治疗的，须选择就诊地卫生健康行政部门依法批准设立、具备人类辅助生殖技术资质的定点医疗机构就诊。其发生的合规辅助生殖门诊医疗费用，严格按照我市门诊慢特病异地就医结算政策执行。</w:t>
      </w:r>
    </w:p>
    <w:p w14:paraId="4A3E5E62">
      <w:pPr>
        <w:pStyle w:val="11"/>
        <w:pageBreakBefore w:val="0"/>
        <w:widowControl/>
        <w:numPr>
          <w:ilvl w:val="0"/>
          <w:numId w:val="0"/>
        </w:numPr>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第七章</w:t>
      </w:r>
      <w:r>
        <w:rPr>
          <w:rFonts w:hint="eastAsia" w:ascii="方正黑体_GBK" w:hAnsi="方正黑体_GBK" w:eastAsia="方正黑体_GBK" w:cs="方正黑体_GBK"/>
          <w:spacing w:val="-6"/>
          <w:kern w:val="0"/>
          <w:sz w:val="32"/>
          <w:szCs w:val="32"/>
          <w:lang w:val="en-US" w:eastAsia="zh-CN"/>
        </w:rPr>
        <w:t xml:space="preserve">  </w:t>
      </w:r>
      <w:r>
        <w:rPr>
          <w:rFonts w:hint="eastAsia" w:ascii="方正黑体_GBK" w:hAnsi="方正黑体_GBK" w:eastAsia="方正黑体_GBK" w:cs="方正黑体_GBK"/>
          <w:spacing w:val="-6"/>
          <w:kern w:val="0"/>
          <w:sz w:val="32"/>
          <w:szCs w:val="32"/>
        </w:rPr>
        <w:t>长期护理保险待遇支付政策</w:t>
      </w:r>
    </w:p>
    <w:p w14:paraId="35B33A0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一、参保范围</w:t>
      </w:r>
    </w:p>
    <w:p w14:paraId="3B2985D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全市机关、企事业单位在职职工、退休人员、灵活就业人员、全体城乡居民全员纳入长护险保障；18周岁以下居民随监护人</w:t>
      </w:r>
      <w:r>
        <w:rPr>
          <w:rFonts w:hint="eastAsia" w:ascii="仿宋_GB2312" w:hAnsi="仿宋_GB2312" w:eastAsia="仿宋_GB2312" w:cs="仿宋_GB2312"/>
          <w:spacing wpsCustomData:val="-6" w:val="4"/>
          <w:kern w:val="0"/>
          <w:sz w:val="32"/>
          <w:szCs w:val="32"/>
        </w:rPr>
        <w:t>同步参保，不单独筹资；孤儿、事实无人抚养儿童视同正</w:t>
      </w:r>
      <w:r>
        <w:rPr>
          <w:rFonts w:hint="eastAsia" w:ascii="仿宋_GB2312" w:hAnsi="仿宋_GB2312" w:eastAsia="仿宋_GB2312" w:cs="仿宋_GB2312"/>
          <w:spacing wpsCustomData:val="-6" w:val="-6"/>
          <w:kern w:val="0"/>
          <w:sz w:val="32"/>
          <w:szCs w:val="32"/>
        </w:rPr>
        <w:t>常</w:t>
      </w:r>
      <w:r>
        <w:rPr>
          <w:rFonts w:hint="eastAsia" w:ascii="仿宋_GB2312" w:hAnsi="仿宋_GB2312" w:eastAsia="仿宋_GB2312" w:cs="仿宋_GB2312"/>
          <w:spacing w:val="-6"/>
          <w:kern w:val="0"/>
          <w:sz w:val="32"/>
          <w:szCs w:val="32"/>
        </w:rPr>
        <w:t>参保。</w:t>
      </w:r>
    </w:p>
    <w:p w14:paraId="6B48247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二、享受条件</w:t>
      </w:r>
    </w:p>
    <w:p w14:paraId="52BA4F0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参保人员经定点失能等级评估机构评定为3级、4级、5级重度失能的，可按规定享受长护险对应护理待遇。</w:t>
      </w:r>
    </w:p>
    <w:p w14:paraId="3622CD29">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三、机构护理待遇</w:t>
      </w:r>
    </w:p>
    <w:p w14:paraId="5A96904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机构护理实行按床日限额支付，单日合规护理费用按规定比例核算支付，应付金额超过床日限额的按床日限额封顶；参保职工、居民在多家定点护理机构入住的床日合并累计核算；每名参保人员单个自然年度内，长护险机构护理基金累计最高支付300床日。</w:t>
      </w:r>
    </w:p>
    <w:p w14:paraId="6640FEB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职工参保人员基金支付比例65%；3级、4级、5级重度失能对应床日基金定额标准分别为40元、50元、60元。</w:t>
      </w:r>
    </w:p>
    <w:p w14:paraId="373667F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居民参保人员基金支付比例45%；3级、4级、5级重度失能对应床日基金定额标准分别为30元、40元、50元。</w:t>
      </w:r>
    </w:p>
    <w:p w14:paraId="69EFCC7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参保人员</w:t>
      </w:r>
      <w:r>
        <w:rPr>
          <w:rFonts w:hint="eastAsia" w:ascii="仿宋_GB2312" w:hAnsi="仿宋_GB2312" w:cs="仿宋_GB2312"/>
          <w:spacing w:val="-6"/>
          <w:kern w:val="0"/>
          <w:sz w:val="32"/>
          <w:szCs w:val="32"/>
          <w:lang w:val="en-US" w:eastAsia="zh-CN"/>
        </w:rPr>
        <w:t>1个自然年度内</w:t>
      </w:r>
      <w:r>
        <w:rPr>
          <w:rFonts w:hint="eastAsia" w:ascii="仿宋_GB2312" w:hAnsi="仿宋_GB2312" w:eastAsia="仿宋_GB2312" w:cs="仿宋_GB2312"/>
          <w:spacing w:val="-6"/>
          <w:kern w:val="0"/>
          <w:sz w:val="32"/>
          <w:szCs w:val="32"/>
        </w:rPr>
        <w:t>连续在定点护理机构入住满180天的，定点机构应当协助家属重新申请失能等级评估；未配合复评或复评不再符合重度失能标准的，停止长护险机构护理待遇；复评通过的，可继续享受至当年300床日年度上限。</w:t>
      </w:r>
    </w:p>
    <w:p w14:paraId="3536AF7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四、社区护理待遇</w:t>
      </w:r>
    </w:p>
    <w:p w14:paraId="1F19D2E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不区分重度失能等级，统一执行以下标准：职工参保人员基金支付比例70%，单日基金</w:t>
      </w:r>
      <w:r>
        <w:rPr>
          <w:rFonts w:hint="eastAsia" w:ascii="仿宋_GB2312" w:hAnsi="仿宋_GB2312" w:cs="仿宋_GB2312"/>
          <w:spacing w:val="-6"/>
          <w:kern w:val="0"/>
          <w:sz w:val="32"/>
          <w:szCs w:val="32"/>
          <w:lang w:val="en-US" w:eastAsia="zh-CN"/>
        </w:rPr>
        <w:t>限额</w:t>
      </w:r>
      <w:r>
        <w:rPr>
          <w:rFonts w:hint="eastAsia" w:ascii="仿宋_GB2312" w:hAnsi="仿宋_GB2312" w:eastAsia="仿宋_GB2312" w:cs="仿宋_GB2312"/>
          <w:spacing w:val="-6"/>
          <w:kern w:val="0"/>
          <w:sz w:val="32"/>
          <w:szCs w:val="32"/>
        </w:rPr>
        <w:t>支付50元；居民参保人员基金支付比例50%，单日基金</w:t>
      </w:r>
      <w:r>
        <w:rPr>
          <w:rFonts w:hint="eastAsia" w:ascii="仿宋_GB2312" w:hAnsi="仿宋_GB2312" w:cs="仿宋_GB2312"/>
          <w:spacing w:val="-6"/>
          <w:kern w:val="0"/>
          <w:sz w:val="32"/>
          <w:szCs w:val="32"/>
          <w:lang w:val="en-US" w:eastAsia="zh-CN"/>
        </w:rPr>
        <w:t>限额</w:t>
      </w:r>
      <w:r>
        <w:rPr>
          <w:rFonts w:hint="eastAsia" w:ascii="仿宋_GB2312" w:hAnsi="仿宋_GB2312" w:eastAsia="仿宋_GB2312" w:cs="仿宋_GB2312"/>
          <w:spacing w:val="-6"/>
          <w:kern w:val="0"/>
          <w:sz w:val="32"/>
          <w:szCs w:val="32"/>
        </w:rPr>
        <w:t>支付40元。</w:t>
      </w:r>
    </w:p>
    <w:p w14:paraId="33EFC11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五、居家护理待遇</w:t>
      </w:r>
    </w:p>
    <w:p w14:paraId="5DB928A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单次居家护理服务时长不得少于1小时，时长未达标对应的费用基金不予支付；按失能等级设定每月最高上门服务次数，单次护理设置基金支付限额；单次合规护理费用按对应比例</w:t>
      </w:r>
      <w:r>
        <w:rPr>
          <w:rFonts w:hint="eastAsia" w:ascii="仿宋_GB2312" w:hAnsi="仿宋_GB2312" w:cs="仿宋_GB2312"/>
          <w:spacing w:val="-6"/>
          <w:kern w:val="0"/>
          <w:sz w:val="32"/>
          <w:szCs w:val="32"/>
          <w:lang w:val="en-US" w:eastAsia="zh-CN"/>
        </w:rPr>
        <w:t>支付</w:t>
      </w:r>
      <w:r>
        <w:rPr>
          <w:rFonts w:hint="eastAsia" w:ascii="仿宋_GB2312" w:hAnsi="仿宋_GB2312" w:eastAsia="仿宋_GB2312" w:cs="仿宋_GB2312"/>
          <w:spacing w:val="-6"/>
          <w:kern w:val="0"/>
          <w:sz w:val="32"/>
          <w:szCs w:val="32"/>
        </w:rPr>
        <w:t>，计算后应付金额超出单次限额的，按限额封顶结算。</w:t>
      </w:r>
    </w:p>
    <w:p w14:paraId="3F24C6D1">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职工参保人员基金支付比例70%，单次服务基金最高支付75元；3级、4级、5级重度失能每月最多分别享受16次、18次、20次上门护理服务。</w:t>
      </w:r>
    </w:p>
    <w:p w14:paraId="5767737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居民参保人员基金支付比例50%，单次服务基金最高支付65元；3级、4级、5级重度失能每月最多分别享受10次、12次、14次上门护理服务。</w:t>
      </w:r>
    </w:p>
    <w:p w14:paraId="2B22566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lang w:val="en-US" w:eastAsia="zh-CN"/>
        </w:rPr>
      </w:pPr>
      <w:r>
        <w:rPr>
          <w:rFonts w:hint="eastAsia" w:ascii="方正黑体_GBK" w:hAnsi="方正黑体_GBK" w:eastAsia="方正黑体_GBK" w:cs="方正黑体_GBK"/>
          <w:spacing w:val="-6"/>
          <w:kern w:val="0"/>
          <w:sz w:val="32"/>
          <w:szCs w:val="32"/>
          <w:lang w:val="en-US" w:eastAsia="zh-CN"/>
        </w:rPr>
        <w:t>六、异地长期居住失能对象支付规则</w:t>
      </w:r>
    </w:p>
    <w:p w14:paraId="41439C3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遵循居住地目录、参保地政策双重标准，异地参保职工、居民长护险基金支付比例、限额标准与枣庄本地参保人员完全一致，不降低保障水平。</w:t>
      </w:r>
    </w:p>
    <w:p w14:paraId="35331FA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服务端（居住地执行）：护理服务项目、服务时长、服务频次、护理服务类型目录，按备案居住地医保现行标准执行；居住地开设日间照料、辅助器具租赁但枣庄未开展的，相关费用统一归入居家护理结算范围。</w:t>
      </w:r>
    </w:p>
    <w:p w14:paraId="016B5FF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支付端（枣庄参保地执行）：报销比例、分失能等级床日/月度支付限额、年度最高支付天数、年度基金封顶限额、差额处理规则，全部执行枣庄市长护险统一政策；超出枣庄待遇结算标准部分全额个人自费，低于限额标准据实结算。</w:t>
      </w:r>
    </w:p>
    <w:p w14:paraId="1496F6B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机构限定：仅备案居住地定点长护服务机构发生的合规费用纳入基金支付；非定点机构护理费用不予报销。每人限选 1 家长护定点机构，变更护理机构、护理类型须提前向枣庄参保地经办机构备案。</w:t>
      </w:r>
    </w:p>
    <w:p w14:paraId="78A9C237">
      <w:pPr>
        <w:pStyle w:val="11"/>
        <w:pageBreakBefore w:val="0"/>
        <w:widowControl/>
        <w:numPr>
          <w:ilvl w:val="0"/>
          <w:numId w:val="0"/>
        </w:numPr>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第八章</w:t>
      </w:r>
      <w:r>
        <w:rPr>
          <w:rFonts w:hint="eastAsia" w:ascii="方正黑体_GBK" w:hAnsi="方正黑体_GBK" w:eastAsia="方正黑体_GBK" w:cs="方正黑体_GBK"/>
          <w:spacing w:val="-6"/>
          <w:kern w:val="0"/>
          <w:sz w:val="32"/>
          <w:szCs w:val="32"/>
          <w:lang w:val="en-US" w:eastAsia="zh-CN"/>
        </w:rPr>
        <w:t xml:space="preserve">  </w:t>
      </w:r>
      <w:r>
        <w:rPr>
          <w:rFonts w:hint="eastAsia" w:ascii="方正黑体_GBK" w:hAnsi="方正黑体_GBK" w:eastAsia="方正黑体_GBK" w:cs="方正黑体_GBK"/>
          <w:spacing w:val="-6"/>
          <w:kern w:val="0"/>
          <w:sz w:val="32"/>
          <w:szCs w:val="32"/>
        </w:rPr>
        <w:t>配套管理通用规则</w:t>
      </w:r>
    </w:p>
    <w:p w14:paraId="6F1B136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一、断缴、补缴与待遇等待期</w:t>
      </w:r>
    </w:p>
    <w:p w14:paraId="1D5BCC87">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（一）职工基本医疗保险</w:t>
      </w:r>
    </w:p>
    <w:p w14:paraId="6A96C0B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单位、灵活就业人员发生中断缴费的，自断缴次月起暂停医保统筹待遇；单位足额补缴欠费及滞纳金后，自补缴次月恢复待遇；补缴仅累计医保缴费年限，欠费期间发生的医疗费用统筹基金不予支付，灵活就业人员断缴参照执行。</w:t>
      </w:r>
    </w:p>
    <w:p w14:paraId="796F04C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灵活就业人员中断缴费时长超过3个月再次参保的，设置3个月医保统筹待遇等待期，缴费当月计入等待期，等待期内不享受统筹报销待遇。</w:t>
      </w:r>
    </w:p>
    <w:p w14:paraId="196048A4">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（二）城乡居民基本医疗保险</w:t>
      </w:r>
    </w:p>
    <w:p w14:paraId="7988F5E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lang w:val="en-US" w:eastAsia="zh-CN"/>
        </w:rPr>
      </w:pPr>
      <w:r>
        <w:rPr>
          <w:rFonts w:hint="eastAsia" w:ascii="仿宋_GB2312" w:hAnsi="仿宋_GB2312" w:eastAsia="仿宋_GB2312" w:cs="仿宋_GB2312"/>
          <w:spacing w:val="-6"/>
          <w:kern w:val="0"/>
          <w:sz w:val="32"/>
          <w:szCs w:val="32"/>
          <w:lang w:val="en-US" w:eastAsia="zh-CN"/>
        </w:rPr>
        <w:t>1.</w:t>
      </w:r>
      <w:r>
        <w:rPr>
          <w:rFonts w:hint="eastAsia" w:ascii="仿宋_GB2312" w:hAnsi="仿宋_GB2312" w:eastAsia="仿宋_GB2312" w:cs="仿宋_GB2312"/>
          <w:spacing w:val="-6"/>
          <w:kern w:val="0"/>
          <w:sz w:val="32"/>
          <w:szCs w:val="32"/>
        </w:rPr>
        <w:t>普通居民待遇等待期</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凡未在居民医保集中缴费期参保缴费，或存在中断参保缴费情形的城乡居民，参保后统一执行待遇等待期制度。基础待遇等待期为3个月；参保人员存在断续参保缴费情况的，每累计断保1年，在3个月固定等待期基础上额外增加1个月待遇等待期。等待期满后方可享受居民医保待遇。</w:t>
      </w:r>
    </w:p>
    <w:p w14:paraId="089548C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lang w:val="en-US" w:eastAsia="zh-CN"/>
        </w:rPr>
      </w:pPr>
      <w:r>
        <w:rPr>
          <w:rFonts w:hint="eastAsia" w:ascii="仿宋_GB2312" w:hAnsi="仿宋_GB2312" w:eastAsia="仿宋_GB2312" w:cs="仿宋_GB2312"/>
          <w:spacing w:val="-6"/>
          <w:kern w:val="0"/>
          <w:sz w:val="32"/>
          <w:szCs w:val="32"/>
          <w:lang w:val="en-US" w:eastAsia="zh-CN"/>
        </w:rPr>
        <w:t>2.</w:t>
      </w:r>
      <w:r>
        <w:rPr>
          <w:rFonts w:hint="eastAsia" w:ascii="仿宋_GB2312" w:hAnsi="仿宋_GB2312" w:eastAsia="仿宋_GB2312" w:cs="仿宋_GB2312"/>
          <w:spacing w:val="-6"/>
          <w:kern w:val="0"/>
          <w:sz w:val="32"/>
          <w:szCs w:val="32"/>
        </w:rPr>
        <w:t>特殊人群待遇等待期</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新生儿自出生之日起6个月内办理参保手续并足额缴纳出生年度居民医保费用的，自出生之日起享受出生年度基本医保待遇。新生儿出生超过6个月办理参保缴费的，自缴费次月起享受对应缴费年度基本医保待遇；超过12个月办理参保缴费的，严格按照普通居民参保缴费及待遇等待期相关政策执行。在居民医保集中缴费期内出生的新生儿，足额缴纳下一年度居民医保费用的，医保待遇享受期限为缴费之日起至次年12月31日。</w:t>
      </w:r>
    </w:p>
    <w:p w14:paraId="71A4E20A">
      <w:pPr>
        <w:pStyle w:val="15"/>
        <w:keepNext w:val="0"/>
        <w:keepLines w:val="0"/>
        <w:widowControl/>
        <w:suppressLineNumbers w:val="0"/>
        <w:spacing w:before="0" w:beforeAutospacing="0" w:after="0" w:afterAutospacing="0" w:line="560" w:lineRule="exact"/>
        <w:ind w:left="0" w:right="0" w:firstLine="616" w:firstLineChars="200"/>
        <w:jc w:val="both"/>
        <w:rPr>
          <w:rFonts w:hint="eastAsia" w:ascii="仿宋_GB2312" w:hAnsi="仿宋_GB2312" w:eastAsia="仿宋_GB2312" w:cs="仿宋_GB2312"/>
          <w:spacing w:val="-6"/>
          <w:kern w:val="0"/>
          <w:sz w:val="32"/>
          <w:szCs w:val="32"/>
          <w:lang w:val="en-US" w:eastAsia="zh-CN"/>
        </w:rPr>
      </w:pPr>
      <w:r>
        <w:rPr>
          <w:rFonts w:hint="eastAsia" w:ascii="仿宋_GB2312" w:hAnsi="仿宋_GB2312" w:eastAsia="仿宋_GB2312" w:cs="仿宋_GB2312"/>
          <w:spacing w:val="-6"/>
          <w:kern w:val="0"/>
          <w:sz w:val="32"/>
          <w:szCs w:val="32"/>
          <w:lang w:val="en-US" w:eastAsia="zh-CN"/>
        </w:rPr>
        <w:t>3.重点特殊群体：集中缴费期外动态新增的未参保医疗救助对象、当年接收安置的退役军人及其随调随迁的配偶和子女、刑满释放人员等参加居民医保的，不受集中缴费期限制，不设置待遇享受等待期。</w:t>
      </w:r>
    </w:p>
    <w:p w14:paraId="0BBD5CAB">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（三）长期护理保险</w:t>
      </w:r>
    </w:p>
    <w:p w14:paraId="759F799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长护险基础固定等待期为6个月；参保人断保每完整断缴1个自然年度，增加1个月浮动等待期，浮动等待期累计上限6个月。参保人足额补缴全部断保年度保费的，可全额减免浮动等待期，但减免后总等待期仍不得少于6个月；等待期内可正常开展失能评估，但发生的护理费用长护险基金不予支付。</w:t>
      </w:r>
    </w:p>
    <w:p w14:paraId="585DF3A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职工参保人</w:t>
      </w:r>
    </w:p>
    <w:p w14:paraId="3230AF1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（1）断缴时长3个月及以内，且在断缴后3个月内足额补缴保费的，不执行上述浮动等待期规则，补缴次月即可恢复长护险待遇；断缴期间产生的护理费用基金不予支付，补缴仅累计长护缴费年限。</w:t>
      </w:r>
    </w:p>
    <w:p w14:paraId="7E9BAA41">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（2）断缴超过3个月再次参保（含补缴）的，按前述固定+浮动等待期规则执行，缴费当月计入等待期。</w:t>
      </w:r>
    </w:p>
    <w:p w14:paraId="0553581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居民参保人</w:t>
      </w:r>
    </w:p>
    <w:p w14:paraId="52E5556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（1）首次参保长护险后，每年9—12月集中缴费期正常缴费的，次年1月1日起具备长护险待遇资格，经失能评估符合条件后可享受待遇。</w:t>
      </w:r>
    </w:p>
    <w:p w14:paraId="6098C49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（2）次年1月后补缴、中途断保复保、首次未</w:t>
      </w:r>
      <w:r>
        <w:rPr>
          <w:rFonts w:hint="eastAsia" w:ascii="仿宋_GB2312" w:hAnsi="仿宋_GB2312" w:cs="仿宋_GB2312"/>
          <w:spacing w:val="-6"/>
          <w:kern w:val="0"/>
          <w:sz w:val="32"/>
          <w:szCs w:val="32"/>
          <w:lang w:val="en-US" w:eastAsia="zh-CN"/>
        </w:rPr>
        <w:t>与居民医保</w:t>
      </w:r>
      <w:r>
        <w:rPr>
          <w:rFonts w:hint="eastAsia" w:ascii="仿宋_GB2312" w:hAnsi="仿宋_GB2312" w:eastAsia="仿宋_GB2312" w:cs="仿宋_GB2312"/>
          <w:spacing w:val="-6"/>
          <w:kern w:val="0"/>
          <w:sz w:val="32"/>
          <w:szCs w:val="32"/>
        </w:rPr>
        <w:t>同步参保的，按固定6个月基础等待期执行，断保年限叠加浮动等待期。</w:t>
      </w:r>
    </w:p>
    <w:p w14:paraId="09EBEFA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（3）18周岁以下随监护人同步参保人员，孤儿、事实无人抚养儿童，以及低保、特困、返贫致贫等医疗救助对象参加居民长护险，不设置待遇等待期。</w:t>
      </w:r>
    </w:p>
    <w:p w14:paraId="5608893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二、医保药品、医用耗材、大型设备检查</w:t>
      </w:r>
      <w:r>
        <w:rPr>
          <w:rFonts w:hint="eastAsia" w:ascii="方正黑体_GBK" w:hAnsi="方正黑体_GBK" w:eastAsia="方正黑体_GBK" w:cs="方正黑体_GBK"/>
          <w:spacing w:val="-6"/>
          <w:kern w:val="0"/>
          <w:sz w:val="32"/>
          <w:szCs w:val="32"/>
          <w:lang w:val="en-US" w:eastAsia="zh-CN"/>
        </w:rPr>
        <w:t>检验</w:t>
      </w:r>
      <w:r>
        <w:rPr>
          <w:rFonts w:hint="eastAsia" w:ascii="方正黑体_GBK" w:hAnsi="方正黑体_GBK" w:eastAsia="方正黑体_GBK" w:cs="方正黑体_GBK"/>
          <w:spacing w:val="-6"/>
          <w:kern w:val="0"/>
          <w:sz w:val="32"/>
          <w:szCs w:val="32"/>
        </w:rPr>
        <w:t>治疗项目支付规则</w:t>
      </w:r>
    </w:p>
    <w:p w14:paraId="19B61C9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药品、医用耗材、大型设备检查</w:t>
      </w:r>
      <w:r>
        <w:rPr>
          <w:rFonts w:hint="eastAsia" w:ascii="仿宋_GB2312" w:hAnsi="仿宋_GB2312" w:cs="仿宋_GB2312"/>
          <w:spacing w:val="-6"/>
          <w:kern w:val="0"/>
          <w:sz w:val="32"/>
          <w:szCs w:val="32"/>
          <w:lang w:val="en-US" w:eastAsia="zh-CN"/>
        </w:rPr>
        <w:t>检验</w:t>
      </w:r>
      <w:r>
        <w:rPr>
          <w:rFonts w:hint="eastAsia" w:ascii="仿宋_GB2312" w:hAnsi="仿宋_GB2312" w:eastAsia="仿宋_GB2312" w:cs="仿宋_GB2312"/>
          <w:spacing w:val="-6"/>
          <w:kern w:val="0"/>
          <w:sz w:val="32"/>
          <w:szCs w:val="32"/>
        </w:rPr>
        <w:t>治疗项目完成个人先行自付后，剩余政策范围内医疗费用，分别按照职工基本医疗保险、城乡居民基本医疗保险起付标准、报销比例等待遇标准予以支付。</w:t>
      </w:r>
    </w:p>
    <w:p w14:paraId="3BFA3FBB">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（一）医保药品差异化支付</w:t>
      </w:r>
    </w:p>
    <w:p w14:paraId="1D803CD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甲类药品不设置个人先行自付比例，政策范围内费用全额纳入统筹支付。</w:t>
      </w:r>
    </w:p>
    <w:p w14:paraId="52A996B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常规乙类药品（不含协议期内国家谈判药品、竞价药品）：职</w:t>
      </w:r>
      <w:r>
        <w:rPr>
          <w:rFonts w:hint="eastAsia" w:ascii="仿宋_GB2312" w:hAnsi="仿宋_GB2312" w:eastAsia="仿宋_GB2312" w:cs="仿宋_GB2312"/>
          <w:spacing wpsCustomData:val="-6" w:val="9"/>
          <w:kern w:val="0"/>
          <w:sz w:val="32"/>
          <w:szCs w:val="32"/>
        </w:rPr>
        <w:t>工医保参保人先行自付</w:t>
      </w:r>
      <w:r>
        <w:rPr>
          <w:rFonts w:hint="eastAsia" w:ascii="仿宋_GB2312" w:hAnsi="仿宋_GB2312" w:eastAsia="仿宋_GB2312" w:cs="仿宋_GB2312"/>
          <w:spacing wpsCustomData:val="-6" w:val="-6"/>
          <w:kern w:val="0"/>
          <w:sz w:val="32"/>
          <w:szCs w:val="32"/>
        </w:rPr>
        <w:t>5</w:t>
      </w:r>
      <w:r>
        <w:rPr>
          <w:rFonts w:hint="eastAsia" w:ascii="仿宋_GB2312" w:hAnsi="仿宋_GB2312" w:eastAsia="仿宋_GB2312" w:cs="仿宋_GB2312"/>
          <w:spacing wpsCustomData:val="-6" w:val="9"/>
          <w:kern w:val="0"/>
          <w:sz w:val="32"/>
          <w:szCs w:val="32"/>
        </w:rPr>
        <w:t>%；城乡居民医保参保人先行自</w:t>
      </w:r>
      <w:r>
        <w:rPr>
          <w:rFonts w:hint="eastAsia" w:ascii="仿宋_GB2312" w:hAnsi="仿宋_GB2312" w:eastAsia="仿宋_GB2312" w:cs="仿宋_GB2312"/>
          <w:spacing wpsCustomData:val="-6" w:val="-44"/>
          <w:kern w:val="0"/>
          <w:sz w:val="32"/>
          <w:szCs w:val="32"/>
        </w:rPr>
        <w:t>付</w:t>
      </w:r>
      <w:r>
        <w:rPr>
          <w:rFonts w:hint="eastAsia" w:ascii="仿宋_GB2312" w:hAnsi="仿宋_GB2312" w:eastAsia="仿宋_GB2312" w:cs="仿宋_GB2312"/>
          <w:spacing w:val="-6"/>
          <w:kern w:val="0"/>
          <w:sz w:val="32"/>
          <w:szCs w:val="32"/>
        </w:rPr>
        <w:t>15%。</w:t>
      </w:r>
    </w:p>
    <w:p w14:paraId="7CD3C50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cs="仿宋_GB2312"/>
          <w:spacing w:val="-6"/>
          <w:kern w:val="0"/>
          <w:sz w:val="32"/>
          <w:szCs w:val="32"/>
          <w:lang w:val="en-US" w:eastAsia="zh-CN"/>
        </w:rPr>
        <w:t>除国家、省明确要求外，</w:t>
      </w:r>
      <w:r>
        <w:rPr>
          <w:rFonts w:hint="eastAsia" w:ascii="仿宋_GB2312" w:hAnsi="仿宋_GB2312" w:eastAsia="仿宋_GB2312" w:cs="仿宋_GB2312"/>
          <w:spacing w:val="-6"/>
          <w:kern w:val="0"/>
          <w:sz w:val="32"/>
          <w:szCs w:val="32"/>
        </w:rPr>
        <w:t>协议期内国家谈判药品、同通用名下价格不高于支付标准的竞价药品：不区分职工、居民参保身份，统一先行自付20%。</w:t>
      </w:r>
    </w:p>
    <w:p w14:paraId="5EB51AF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default" w:ascii="仿宋_GB2312" w:hAnsi="仿宋_GB2312" w:cs="仿宋_GB2312"/>
          <w:spacing w:val="-6"/>
          <w:kern w:val="0"/>
          <w:sz w:val="32"/>
          <w:szCs w:val="32"/>
          <w:lang w:val="en-US" w:eastAsia="zh-CN"/>
        </w:rPr>
      </w:pPr>
      <w:r>
        <w:rPr>
          <w:rFonts w:hint="eastAsia" w:ascii="仿宋_GB2312" w:hAnsi="仿宋_GB2312" w:cs="仿宋_GB2312"/>
          <w:spacing w:val="-6"/>
          <w:kern w:val="0"/>
          <w:sz w:val="32"/>
          <w:szCs w:val="32"/>
          <w:lang w:val="en-US" w:eastAsia="zh-CN"/>
        </w:rPr>
        <w:t>医保目录内的集采中选药品以中选价格作为医保支付标准。集采非中选药品根据集采批次相关政策调整个人先行自付比例或医保支付标准。</w:t>
      </w:r>
    </w:p>
    <w:p w14:paraId="78B14402">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（二）医用耗材分级支付</w:t>
      </w:r>
    </w:p>
    <w:p w14:paraId="4485F3C1">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lang w:eastAsia="zh-CN"/>
        </w:rPr>
      </w:pPr>
      <w:r>
        <w:rPr>
          <w:rFonts w:hint="eastAsia" w:ascii="仿宋_GB2312" w:hAnsi="仿宋_GB2312" w:eastAsia="仿宋_GB2312" w:cs="仿宋_GB2312"/>
          <w:spacing w:val="-6"/>
          <w:kern w:val="0"/>
          <w:sz w:val="32"/>
          <w:szCs w:val="32"/>
        </w:rPr>
        <w:t>非集采医用耗材</w:t>
      </w:r>
    </w:p>
    <w:p w14:paraId="45B087B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职工医保：单价1000元以下（不含1000元）无个人先行自付；单价1000元及以上个人先行自付20%。</w:t>
      </w:r>
    </w:p>
    <w:p w14:paraId="4EFF118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城乡居民医保：单价100元以下（不含100元）无先行自付；100元及以上、1000元以下（含1000元）先行自付15%；1000元以上先行自付20%。</w:t>
      </w:r>
    </w:p>
    <w:p w14:paraId="26A8D8B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集采医用耗材</w:t>
      </w:r>
    </w:p>
    <w:p w14:paraId="270F628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集采中选耗材以中选价格作为医保支付标准，不设置个人先行</w:t>
      </w:r>
      <w:r>
        <w:rPr>
          <w:rFonts w:hint="eastAsia" w:ascii="仿宋_GB2312" w:hAnsi="仿宋_GB2312" w:eastAsia="仿宋_GB2312" w:cs="仿宋_GB2312"/>
          <w:spacing wpsCustomData:val="-6" w:val="13"/>
          <w:kern w:val="0"/>
          <w:sz w:val="32"/>
          <w:szCs w:val="32"/>
        </w:rPr>
        <w:t>自付比例；集采非中选耗材统一执行个人先行自付</w:t>
      </w:r>
      <w:r>
        <w:rPr>
          <w:rFonts w:hint="eastAsia" w:ascii="仿宋_GB2312" w:hAnsi="仿宋_GB2312" w:eastAsia="仿宋_GB2312" w:cs="仿宋_GB2312"/>
          <w:spacing wpsCustomData:val="-6" w:val="-6"/>
          <w:kern w:val="0"/>
          <w:sz w:val="32"/>
          <w:szCs w:val="32"/>
        </w:rPr>
        <w:t>20</w:t>
      </w:r>
      <w:r>
        <w:rPr>
          <w:rFonts w:hint="eastAsia" w:ascii="仿宋_GB2312" w:hAnsi="仿宋_GB2312" w:eastAsia="仿宋_GB2312" w:cs="仿宋_GB2312"/>
          <w:spacing wpsCustomData:val="-6" w:val="13"/>
          <w:kern w:val="0"/>
          <w:sz w:val="32"/>
          <w:szCs w:val="32"/>
        </w:rPr>
        <w:t>%</w:t>
      </w:r>
      <w:r>
        <w:rPr>
          <w:rFonts w:hint="eastAsia" w:ascii="仿宋_GB2312" w:hAnsi="仿宋_GB2312" w:eastAsia="仿宋_GB2312" w:cs="仿宋_GB2312"/>
          <w:spacing wpsCustomData:val="-6" w:val="-6"/>
          <w:kern w:val="0"/>
          <w:sz w:val="32"/>
          <w:szCs w:val="32"/>
        </w:rPr>
        <w:t>的</w:t>
      </w:r>
      <w:r>
        <w:rPr>
          <w:rFonts w:hint="eastAsia" w:ascii="仿宋_GB2312" w:hAnsi="仿宋_GB2312" w:eastAsia="仿宋_GB2312" w:cs="仿宋_GB2312"/>
          <w:spacing w:val="-6"/>
          <w:kern w:val="0"/>
          <w:sz w:val="32"/>
          <w:szCs w:val="32"/>
        </w:rPr>
        <w:t>标准。</w:t>
      </w:r>
    </w:p>
    <w:p w14:paraId="3BDF3128">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（三）大型医疗设备检查、</w:t>
      </w:r>
      <w:r>
        <w:rPr>
          <w:rFonts w:hint="eastAsia" w:ascii="仿宋_GB2312" w:hAnsi="仿宋_GB2312" w:cs="仿宋_GB2312"/>
          <w:b/>
          <w:bCs/>
          <w:spacing w:val="-6"/>
          <w:kern w:val="0"/>
          <w:sz w:val="32"/>
          <w:szCs w:val="32"/>
          <w:lang w:val="en-US" w:eastAsia="zh-CN"/>
        </w:rPr>
        <w:t>检验、</w:t>
      </w:r>
      <w:r>
        <w:rPr>
          <w:rFonts w:hint="eastAsia" w:ascii="仿宋_GB2312" w:hAnsi="仿宋_GB2312" w:eastAsia="仿宋_GB2312" w:cs="仿宋_GB2312"/>
          <w:b/>
          <w:bCs/>
          <w:spacing w:val="-6"/>
          <w:kern w:val="0"/>
          <w:sz w:val="32"/>
          <w:szCs w:val="32"/>
        </w:rPr>
        <w:t>治疗项目支付</w:t>
      </w:r>
    </w:p>
    <w:p w14:paraId="39E454E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纳入医保支付范围、符合临床指征的大型医疗设备检查、</w:t>
      </w:r>
      <w:r>
        <w:rPr>
          <w:rFonts w:hint="eastAsia" w:ascii="仿宋_GB2312" w:hAnsi="仿宋_GB2312" w:cs="仿宋_GB2312"/>
          <w:spacing w:val="-6"/>
          <w:kern w:val="0"/>
          <w:sz w:val="32"/>
          <w:szCs w:val="32"/>
          <w:lang w:val="en-US" w:eastAsia="zh-CN"/>
        </w:rPr>
        <w:t>检验、</w:t>
      </w:r>
      <w:r>
        <w:rPr>
          <w:rFonts w:hint="eastAsia" w:ascii="仿宋_GB2312" w:hAnsi="仿宋_GB2312" w:eastAsia="仿宋_GB2312" w:cs="仿宋_GB2312"/>
          <w:spacing w:val="-6"/>
          <w:kern w:val="0"/>
          <w:sz w:val="32"/>
          <w:szCs w:val="32"/>
        </w:rPr>
        <w:t>治疗项目，个人先行自付比例上限控制为20%，先行自付后剩余合规费用按职工、居民对应医保待遇标准支付。</w:t>
      </w:r>
    </w:p>
    <w:p w14:paraId="7D29F0C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三、门诊慢特病、“双通道”药品备案管理</w:t>
      </w:r>
    </w:p>
    <w:p w14:paraId="0475C7FB">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（一）门诊慢特病备案要求</w:t>
      </w:r>
    </w:p>
    <w:p w14:paraId="508D562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参保人员必须先办理门诊慢特病病种认定备案，才可享受门诊慢特病医保待遇；备案期间，可按政策申请病种年度复核、新增慢特病病种。</w:t>
      </w:r>
    </w:p>
    <w:p w14:paraId="6A123946">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（二）“双通道”药品分类及备案、结算规则</w:t>
      </w:r>
    </w:p>
    <w:p w14:paraId="011CA879">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全市“双通道”药品分“三定”管理药品、常规管理药品两类管理。定点医疗机构无对应药品时，参保人可凭合规处方到“双通道”定点零售药店购药。</w:t>
      </w:r>
    </w:p>
    <w:p w14:paraId="2295B67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“三定”管理药品（含协议期谈判药、过渡期内调出谈判药、大病高值药等）：实行定点医院、定点医师、定点药店三方备案，备案最长有效期1</w:t>
      </w:r>
      <w:r>
        <w:rPr>
          <w:rFonts w:hint="eastAsia" w:ascii="仿宋_GB2312" w:hAnsi="仿宋_GB2312" w:cs="仿宋_GB2312"/>
          <w:spacing w:val="-6"/>
          <w:kern w:val="0"/>
          <w:sz w:val="32"/>
          <w:szCs w:val="32"/>
          <w:lang w:val="en-US" w:eastAsia="zh-CN"/>
        </w:rPr>
        <w:t>个医疗年度</w:t>
      </w:r>
      <w:r>
        <w:rPr>
          <w:rFonts w:hint="eastAsia" w:ascii="仿宋_GB2312" w:hAnsi="仿宋_GB2312" w:eastAsia="仿宋_GB2312" w:cs="仿宋_GB2312"/>
          <w:spacing w:val="-6"/>
          <w:kern w:val="0"/>
          <w:sz w:val="32"/>
          <w:szCs w:val="32"/>
        </w:rPr>
        <w:t>，到期需重新评估备案。门诊慢特病患者使用该类药品，必须提前办理药品使用备案，未备案费用统筹基金不予支付；药品费用单独限额支付，不占用门诊慢特病原有年度额度。</w:t>
      </w:r>
    </w:p>
    <w:p w14:paraId="6B9A624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常规管理药品：其余“双通道”药品视为常规管理药品，实行一次备案、长期有效。门诊慢特病患者使用时，不再单独限额，按照现行门诊慢特病相关政策执行。</w:t>
      </w:r>
    </w:p>
    <w:p w14:paraId="22BB158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四、异地就医管理</w:t>
      </w:r>
    </w:p>
    <w:p w14:paraId="3FF4E91F">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（一）总体原则</w:t>
      </w:r>
    </w:p>
    <w:p w14:paraId="2F5B390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异地就医执行先备案、后结算；参保人员异地住院、普通门诊、门诊慢特病统一纳入国家异地就医直接结算范围，线上、线下渠道均可办理备案，实施差异化报销政策。</w:t>
      </w:r>
      <w:r>
        <w:rPr>
          <w:rFonts w:hint="eastAsia" w:ascii="仿宋_GB2312" w:hAnsi="仿宋_GB2312" w:eastAsia="仿宋_GB2312" w:cs="仿宋_GB2312"/>
          <w:spacing w:val="-6"/>
          <w:kern w:val="0"/>
          <w:sz w:val="32"/>
          <w:szCs w:val="32"/>
          <w:lang w:val="en-US" w:eastAsia="zh-CN"/>
        </w:rPr>
        <w:t>医保目录执行就医地政策，起付标准、报销比例、支付限额执行参保地政策。</w:t>
      </w:r>
    </w:p>
    <w:p w14:paraId="023935B2">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（二）人员分类及</w:t>
      </w:r>
      <w:r>
        <w:rPr>
          <w:rFonts w:hint="eastAsia" w:ascii="仿宋_GB2312" w:hAnsi="仿宋_GB2312" w:cs="仿宋_GB2312"/>
          <w:b/>
          <w:bCs/>
          <w:spacing w:val="-6"/>
          <w:kern w:val="0"/>
          <w:sz w:val="32"/>
          <w:szCs w:val="32"/>
          <w:lang w:val="en-US" w:eastAsia="zh-CN"/>
        </w:rPr>
        <w:t>报销</w:t>
      </w:r>
      <w:r>
        <w:rPr>
          <w:rFonts w:hint="eastAsia" w:ascii="仿宋_GB2312" w:hAnsi="仿宋_GB2312" w:eastAsia="仿宋_GB2312" w:cs="仿宋_GB2312"/>
          <w:b/>
          <w:bCs/>
          <w:spacing w:val="-6"/>
          <w:kern w:val="0"/>
          <w:sz w:val="32"/>
          <w:szCs w:val="32"/>
        </w:rPr>
        <w:t>政策</w:t>
      </w:r>
    </w:p>
    <w:p w14:paraId="6378F111">
      <w:pPr>
        <w:pStyle w:val="15"/>
        <w:keepNext w:val="0"/>
        <w:keepLines w:val="0"/>
        <w:widowControl/>
        <w:suppressLineNumbers w:val="0"/>
        <w:spacing w:before="0" w:beforeAutospacing="0" w:after="0" w:afterAutospacing="0" w:line="560" w:lineRule="exact"/>
        <w:ind w:left="0" w:right="0" w:firstLine="616" w:firstLineChars="200"/>
        <w:jc w:val="both"/>
        <w:rPr>
          <w:rFonts w:hint="eastAsia" w:ascii="仿宋_GB2312" w:hAnsi="仿宋_GB2312" w:eastAsia="仿宋_GB2312" w:cs="仿宋_GB2312"/>
          <w:spacing w:val="-6"/>
          <w:kern w:val="0"/>
          <w:sz w:val="32"/>
          <w:szCs w:val="32"/>
          <w:lang w:val="en-US"/>
        </w:rPr>
      </w:pPr>
      <w:r>
        <w:rPr>
          <w:rFonts w:hint="eastAsia" w:ascii="仿宋_GB2312" w:hAnsi="仿宋_GB2312" w:eastAsia="仿宋_GB2312" w:cs="仿宋_GB2312"/>
          <w:spacing w:val="-6"/>
          <w:kern w:val="0"/>
          <w:sz w:val="32"/>
          <w:szCs w:val="32"/>
        </w:rPr>
        <w:t>异地长期居住人员：异地安置退休、异地长期居住、常驻异地工作连续6个月以上人员。备案后在备案地就医，起付标准、报销比例、年度限额执行枣庄本地标准；</w:t>
      </w:r>
      <w:r>
        <w:rPr>
          <w:rFonts w:hint="eastAsia" w:ascii="仿宋_GB2312" w:hAnsi="仿宋_GB2312" w:eastAsia="仿宋_GB2312" w:cs="仿宋_GB2312"/>
          <w:spacing w:val="-6"/>
          <w:kern w:val="0"/>
          <w:sz w:val="32"/>
          <w:szCs w:val="32"/>
          <w:lang w:val="en-US" w:eastAsia="zh-CN"/>
        </w:rPr>
        <w:t>备案期内回参保地就医的按照临时外出就医人员报销政策执行。</w:t>
      </w:r>
    </w:p>
    <w:p w14:paraId="4417827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临时外出就医人员（含异地转诊、异地急诊、探亲出差等省内、跨省临时外出）：临时外出就医人员发生的政策范围内合规医疗费用，先由个人先行自付20%，剩余部分按照枣庄市内同等级定点医疗机构对应报销比例结算。</w:t>
      </w:r>
    </w:p>
    <w:p w14:paraId="39AF17BF">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（三）备案与监管要求</w:t>
      </w:r>
    </w:p>
    <w:p w14:paraId="534E5D35">
      <w:pPr>
        <w:pStyle w:val="15"/>
        <w:keepNext w:val="0"/>
        <w:keepLines w:val="0"/>
        <w:widowControl/>
        <w:suppressLineNumbers w:val="0"/>
        <w:spacing w:before="0" w:beforeAutospacing="0" w:after="0" w:afterAutospacing="0" w:line="560" w:lineRule="exact"/>
        <w:ind w:left="0" w:right="0" w:firstLine="616" w:firstLineChars="200"/>
        <w:jc w:val="both"/>
        <w:rPr>
          <w:rFonts w:hint="eastAsia" w:ascii="仿宋_GB2312" w:hAnsi="仿宋_GB2312" w:eastAsia="仿宋_GB2312" w:cs="仿宋_GB2312"/>
          <w:spacing w:val="-6"/>
          <w:kern w:val="0"/>
          <w:sz w:val="32"/>
          <w:szCs w:val="32"/>
          <w:lang w:val="en-US"/>
        </w:rPr>
      </w:pPr>
      <w:r>
        <w:rPr>
          <w:rFonts w:hint="eastAsia" w:ascii="仿宋_GB2312" w:hAnsi="仿宋_GB2312" w:eastAsia="仿宋_GB2312" w:cs="仿宋_GB2312"/>
          <w:spacing w:val="-6"/>
          <w:kern w:val="0"/>
          <w:sz w:val="32"/>
          <w:szCs w:val="32"/>
          <w:lang w:val="en-US" w:eastAsia="zh-CN"/>
        </w:rPr>
        <w:t>异地长期居住人员可线下或者线上提交就医地居住证、户口簿（户口簿首页和本人常住人口登记卡）、参保地工作单位派出凭证、异地工作劳动合同任一材料即可；临时外出就医实行自助备案，线上</w:t>
      </w:r>
      <w:r>
        <w:rPr>
          <w:rFonts w:hint="eastAsia" w:cs="仿宋_GB2312"/>
          <w:spacing w:val="-6"/>
          <w:kern w:val="0"/>
          <w:sz w:val="32"/>
          <w:szCs w:val="32"/>
          <w:lang w:val="en-US" w:eastAsia="zh-CN"/>
        </w:rPr>
        <w:t>线下</w:t>
      </w:r>
      <w:r>
        <w:rPr>
          <w:rFonts w:hint="eastAsia" w:ascii="仿宋_GB2312" w:hAnsi="仿宋_GB2312" w:eastAsia="仿宋_GB2312" w:cs="仿宋_GB2312"/>
          <w:spacing w:val="-6"/>
          <w:kern w:val="0"/>
          <w:sz w:val="32"/>
          <w:szCs w:val="32"/>
          <w:lang w:val="en-US" w:eastAsia="zh-CN"/>
        </w:rPr>
        <w:t>即时办结。</w:t>
      </w:r>
    </w:p>
    <w:p w14:paraId="39490E54">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就医地落实异地就医属地审核监管责任，异地就医费用与本地费用无差别纳入定点协议管理、智能审核、飞行检查范围。</w:t>
      </w:r>
    </w:p>
    <w:p w14:paraId="771E8045">
      <w:pPr>
        <w:pStyle w:val="11"/>
        <w:pageBreakBefore w:val="0"/>
        <w:widowControl/>
        <w:numPr>
          <w:ilvl w:val="0"/>
          <w:numId w:val="0"/>
        </w:numPr>
        <w:kinsoku/>
        <w:wordWrap/>
        <w:overflowPunct/>
        <w:topLinePunct w:val="0"/>
        <w:autoSpaceDE/>
        <w:autoSpaceDN/>
        <w:bidi w:val="0"/>
        <w:adjustRightInd/>
        <w:snapToGrid/>
        <w:ind w:leftChars="0" w:firstLine="619" w:firstLineChars="200"/>
        <w:jc w:val="both"/>
        <w:textAlignment w:val="auto"/>
        <w:rPr>
          <w:rFonts w:hint="default" w:ascii="仿宋_GB2312" w:hAnsi="仿宋_GB2312" w:eastAsia="仿宋_GB2312" w:cs="仿宋_GB2312"/>
          <w:b/>
          <w:bCs/>
          <w:spacing w:val="-6"/>
          <w:kern w:val="0"/>
          <w:sz w:val="32"/>
          <w:szCs w:val="32"/>
          <w:lang w:val="en-US" w:eastAsia="zh-CN" w:bidi="ar-SA"/>
        </w:rPr>
      </w:pPr>
      <w:r>
        <w:rPr>
          <w:rFonts w:hint="eastAsia" w:ascii="仿宋_GB2312" w:hAnsi="仿宋_GB2312" w:cs="仿宋_GB2312"/>
          <w:b/>
          <w:bCs/>
          <w:spacing w:val="-6"/>
          <w:kern w:val="0"/>
          <w:sz w:val="32"/>
          <w:szCs w:val="32"/>
          <w:lang w:val="en-US" w:eastAsia="zh-CN" w:bidi="ar-SA"/>
        </w:rPr>
        <w:t>（四）急诊抢救费用报销政策</w:t>
      </w:r>
    </w:p>
    <w:p w14:paraId="36E2652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lang w:val="en-US" w:eastAsia="zh-CN" w:bidi="ar-SA"/>
        </w:rPr>
      </w:pPr>
      <w:r>
        <w:rPr>
          <w:rFonts w:hint="eastAsia" w:ascii="仿宋_GB2312" w:hAnsi="仿宋_GB2312" w:eastAsia="仿宋_GB2312" w:cs="仿宋_GB2312"/>
          <w:spacing w:val="-6"/>
          <w:kern w:val="0"/>
          <w:sz w:val="32"/>
          <w:szCs w:val="32"/>
          <w:lang w:val="en-US" w:eastAsia="zh-CN" w:bidi="ar-SA"/>
        </w:rPr>
        <w:t>参保人员异地发生急诊抢救，由异地定点医疗机构上传急诊抢救标识后视同已完成异地就医备案</w:t>
      </w:r>
      <w:r>
        <w:rPr>
          <w:rFonts w:hint="eastAsia" w:ascii="仿宋_GB2312" w:hAnsi="仿宋_GB2312" w:cs="仿宋_GB2312"/>
          <w:spacing w:val="-6"/>
          <w:kern w:val="0"/>
          <w:sz w:val="32"/>
          <w:szCs w:val="32"/>
          <w:lang w:val="en-US" w:eastAsia="zh-CN" w:bidi="ar-SA"/>
        </w:rPr>
        <w:t>。</w:t>
      </w:r>
      <w:r>
        <w:rPr>
          <w:rFonts w:hint="eastAsia" w:ascii="仿宋_GB2312" w:hAnsi="仿宋_GB2312" w:eastAsia="仿宋_GB2312" w:cs="仿宋_GB2312"/>
          <w:spacing w:val="-6"/>
          <w:kern w:val="0"/>
          <w:sz w:val="32"/>
          <w:szCs w:val="32"/>
          <w:lang w:val="en-US" w:eastAsia="zh-CN" w:bidi="ar-SA"/>
        </w:rPr>
        <w:t>异地急诊抢救留观后转入住院的，住院前</w:t>
      </w:r>
      <w:r>
        <w:rPr>
          <w:rFonts w:hint="eastAsia" w:ascii="仿宋_GB2312" w:hAnsi="仿宋_GB2312" w:cs="仿宋_GB2312"/>
          <w:spacing w:val="-6"/>
          <w:kern w:val="0"/>
          <w:sz w:val="32"/>
          <w:szCs w:val="32"/>
          <w:lang w:val="en-US" w:eastAsia="zh-CN" w:bidi="ar-SA"/>
        </w:rPr>
        <w:t>3</w:t>
      </w:r>
      <w:r>
        <w:rPr>
          <w:rFonts w:hint="eastAsia" w:ascii="仿宋_GB2312" w:hAnsi="仿宋_GB2312" w:eastAsia="仿宋_GB2312" w:cs="仿宋_GB2312"/>
          <w:spacing w:val="-6"/>
          <w:kern w:val="0"/>
          <w:sz w:val="32"/>
          <w:szCs w:val="32"/>
          <w:lang w:val="en-US" w:eastAsia="zh-CN" w:bidi="ar-SA"/>
        </w:rPr>
        <w:t>日内合规留观费用可并入住院费用，联网定点机构可直接结算，非定点机构由个人先行垫付后回参保地申报报销；急诊抢救无效死亡的，抢救医疗费用按住院政策支付；未留观或留观后未住院的急诊费用，按普通门诊统筹政策报销，不满足急诊抢救条件的普通急诊不适用视同备案政策</w:t>
      </w:r>
      <w:r>
        <w:rPr>
          <w:rFonts w:hint="eastAsia" w:ascii="仿宋_GB2312" w:hAnsi="仿宋_GB2312" w:cs="仿宋_GB2312"/>
          <w:spacing w:val="-6"/>
          <w:kern w:val="0"/>
          <w:sz w:val="32"/>
          <w:szCs w:val="32"/>
          <w:lang w:val="en-US" w:eastAsia="zh-CN" w:bidi="ar-SA"/>
        </w:rPr>
        <w:t>。</w:t>
      </w:r>
    </w:p>
    <w:p w14:paraId="04DCF598">
      <w:pPr>
        <w:pStyle w:val="11"/>
        <w:pageBreakBefore w:val="0"/>
        <w:widowControl/>
        <w:numPr>
          <w:ilvl w:val="0"/>
          <w:numId w:val="0"/>
        </w:numPr>
        <w:kinsoku/>
        <w:wordWrap/>
        <w:overflowPunct/>
        <w:topLinePunct w:val="0"/>
        <w:autoSpaceDE/>
        <w:autoSpaceDN/>
        <w:bidi w:val="0"/>
        <w:adjustRightInd/>
        <w:snapToGrid/>
        <w:jc w:val="center"/>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第九章</w:t>
      </w:r>
      <w:r>
        <w:rPr>
          <w:rFonts w:hint="eastAsia" w:ascii="方正黑体_GBK" w:hAnsi="方正黑体_GBK" w:eastAsia="方正黑体_GBK" w:cs="方正黑体_GBK"/>
          <w:spacing w:val="-6"/>
          <w:kern w:val="0"/>
          <w:sz w:val="32"/>
          <w:szCs w:val="32"/>
          <w:lang w:val="en-US" w:eastAsia="zh-CN"/>
        </w:rPr>
        <w:t xml:space="preserve">  </w:t>
      </w:r>
      <w:r>
        <w:rPr>
          <w:rFonts w:hint="eastAsia" w:ascii="方正黑体_GBK" w:hAnsi="方正黑体_GBK" w:eastAsia="方正黑体_GBK" w:cs="方正黑体_GBK"/>
          <w:spacing w:val="-6"/>
          <w:kern w:val="0"/>
          <w:sz w:val="32"/>
          <w:szCs w:val="32"/>
        </w:rPr>
        <w:t>医保基金不予支付负面清单</w:t>
      </w:r>
    </w:p>
    <w:p w14:paraId="7ECEB6C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统筹基金仅对纳入国家、省医保药品、医用耗材、医疗服务“三大目录”，且符合目录限定范围、临床诊疗规范的合规疾病医疗费用，按规定比例予以支付。下列费用统筹基金、职工医保个人账户一律不予支付；存在违规就医购药行为的，医保部门按《医疗保障基金使用监督管理条例》予以拒付、追回违规基金，涉嫌违法犯罪的移交司法机关处理。</w:t>
      </w:r>
    </w:p>
    <w:p w14:paraId="4A25729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一、法定排除类费用</w:t>
      </w:r>
    </w:p>
    <w:p w14:paraId="74490076">
      <w:pPr>
        <w:pStyle w:val="11"/>
        <w:pageBreakBefore w:val="0"/>
        <w:widowControl/>
        <w:numPr>
          <w:ilvl w:val="0"/>
          <w:numId w:val="0"/>
        </w:numPr>
        <w:kinsoku/>
        <w:wordWrap/>
        <w:overflowPunct/>
        <w:topLinePunct w:val="0"/>
        <w:autoSpaceDE/>
        <w:autoSpaceDN/>
        <w:bidi w:val="0"/>
        <w:adjustRightInd/>
        <w:snapToGrid/>
        <w:ind w:leftChars="0" w:firstLine="616"/>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psCustomData:val="-6" w:val="12"/>
          <w:kern w:val="0"/>
          <w:sz w:val="32"/>
          <w:szCs w:val="32"/>
        </w:rPr>
        <w:t>应当由工伤保险基金全额承担的工伤、职业病诊疗康</w:t>
      </w:r>
      <w:r>
        <w:rPr>
          <w:rFonts w:hint="eastAsia" w:ascii="仿宋_GB2312" w:hAnsi="仿宋_GB2312" w:eastAsia="仿宋_GB2312" w:cs="仿宋_GB2312"/>
          <w:spacing wpsCustomData:val="-6" w:val="-6"/>
          <w:kern w:val="0"/>
          <w:sz w:val="32"/>
          <w:szCs w:val="32"/>
        </w:rPr>
        <w:t>复</w:t>
      </w:r>
      <w:r>
        <w:rPr>
          <w:rFonts w:hint="eastAsia" w:ascii="仿宋_GB2312" w:hAnsi="仿宋_GB2312" w:eastAsia="仿宋_GB2312" w:cs="仿宋_GB2312"/>
          <w:spacing w:val="-6"/>
          <w:kern w:val="0"/>
          <w:sz w:val="32"/>
          <w:szCs w:val="32"/>
        </w:rPr>
        <w:t>费用；</w:t>
      </w:r>
    </w:p>
    <w:p w14:paraId="1AACF367">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依法应由第三人承担医疗费用，但无法确定第三人或第三人无赔付能力的，参保人可按规定申请医保基金先行支付；基金垫付完成后，医保部门依法向第三方追偿；</w:t>
      </w:r>
    </w:p>
    <w:p w14:paraId="6FFEE3C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纳入国家基本公共卫生服务财政保障的项目费用；</w:t>
      </w:r>
    </w:p>
    <w:p w14:paraId="4889DDE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在境外、港澳台地区就医产生的医药费用。</w:t>
      </w:r>
    </w:p>
    <w:p w14:paraId="0F793641">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二、目录外及不符合限定使用的药品、医用耗材</w:t>
      </w:r>
    </w:p>
    <w:p w14:paraId="3644AB4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未纳入国家、山东省医保药品、医用耗材目录的品种；</w:t>
      </w:r>
    </w:p>
    <w:p w14:paraId="4E28118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虽纳入目录，但</w:t>
      </w:r>
      <w:r>
        <w:rPr>
          <w:rFonts w:hint="eastAsia" w:ascii="仿宋_GB2312" w:hAnsi="仿宋_GB2312" w:cs="仿宋_GB2312"/>
          <w:spacing w:val="-6"/>
          <w:kern w:val="0"/>
          <w:sz w:val="32"/>
          <w:szCs w:val="32"/>
          <w:lang w:val="en-US" w:eastAsia="zh-CN"/>
        </w:rPr>
        <w:t>不符合法定</w:t>
      </w:r>
      <w:r>
        <w:rPr>
          <w:rFonts w:hint="eastAsia" w:ascii="仿宋_GB2312" w:hAnsi="仿宋_GB2312" w:eastAsia="仿宋_GB2312" w:cs="仿宋_GB2312"/>
          <w:spacing w:val="-6"/>
          <w:kern w:val="0"/>
          <w:sz w:val="32"/>
          <w:szCs w:val="32"/>
        </w:rPr>
        <w:t>适应症</w:t>
      </w:r>
      <w:r>
        <w:rPr>
          <w:rFonts w:hint="eastAsia" w:ascii="仿宋_GB2312" w:hAnsi="仿宋_GB2312" w:cs="仿宋_GB2312"/>
          <w:spacing w:val="-6"/>
          <w:kern w:val="0"/>
          <w:sz w:val="32"/>
          <w:szCs w:val="32"/>
          <w:lang w:val="en-US" w:eastAsia="zh-CN"/>
        </w:rPr>
        <w:t>及医保限定支付范围</w:t>
      </w:r>
      <w:r>
        <w:rPr>
          <w:rFonts w:hint="eastAsia" w:ascii="仿宋_GB2312" w:hAnsi="仿宋_GB2312" w:eastAsia="仿宋_GB2312" w:cs="仿宋_GB2312"/>
          <w:spacing w:val="-6"/>
          <w:kern w:val="0"/>
          <w:sz w:val="32"/>
          <w:szCs w:val="32"/>
        </w:rPr>
        <w:t>、超疗程、超剂量、无对应疾病诊断使用的药品、医用耗材；</w:t>
      </w:r>
    </w:p>
    <w:p w14:paraId="140FC01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美容、减肥、整形、养生保健专用药品及耗材；</w:t>
      </w:r>
    </w:p>
    <w:p w14:paraId="2E6A6EB5">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未赋国家医保统一编码、未取得有效医疗器械注册/备案凭证、物价政策禁止单独收费、已淘汰或超过效期的医用耗材。</w:t>
      </w:r>
    </w:p>
    <w:p w14:paraId="1A78B89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三、非疾病、特需增值类医疗服务</w:t>
      </w:r>
    </w:p>
    <w:p w14:paraId="6E6F9F5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单纯美容、正畸祛斑、疤痕修复、近视矫正、非疾病类塑形等无器质性病变改善外观的医疗项目；</w:t>
      </w:r>
    </w:p>
    <w:p w14:paraId="7C4F0070">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单纯健康体检、体育健身、无医学诊疗指征的保健推拿；</w:t>
      </w:r>
    </w:p>
    <w:p w14:paraId="52E2D80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特需病房、高端陪护、非急救转运等增值服务收费；</w:t>
      </w:r>
    </w:p>
    <w:p w14:paraId="2ED47F8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本人故意自残、自杀，醉酒、吸毒，以及实施违法犯罪行为过程中产生的诊疗费用。</w:t>
      </w:r>
    </w:p>
    <w:p w14:paraId="2F66EEC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四、违规诊疗与不合规就医产生的费用</w:t>
      </w:r>
    </w:p>
    <w:p w14:paraId="3C33D5B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挂床住院、虚假就医、冒名结算、串换诊疗项目等欺诈骗保行为产生的费用；</w:t>
      </w:r>
    </w:p>
    <w:p w14:paraId="6FD50DDF">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达到出院标准拒不出院、无指征检查检验、过度诊疗、疗养式住院产生的费用；</w:t>
      </w:r>
    </w:p>
    <w:p w14:paraId="1ABC41F8">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非定点医药机构发生的费用（急诊抢救除外，抢救后须按规定补办核查备案手续）；</w:t>
      </w:r>
    </w:p>
    <w:p w14:paraId="28C9C27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药物临床试验相关费用。</w:t>
      </w:r>
    </w:p>
    <w:p w14:paraId="2B75914C">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五、职工医保个人账户不予支付范围</w:t>
      </w:r>
    </w:p>
    <w:p w14:paraId="4812C9FB">
      <w:pPr>
        <w:pStyle w:val="11"/>
        <w:pageBreakBefore w:val="0"/>
        <w:widowControl/>
        <w:numPr>
          <w:ilvl w:val="0"/>
          <w:numId w:val="0"/>
        </w:numPr>
        <w:kinsoku/>
        <w:wordWrap/>
        <w:overflowPunct/>
        <w:topLinePunct w:val="0"/>
        <w:autoSpaceDE/>
        <w:autoSpaceDN/>
        <w:bidi w:val="0"/>
        <w:adjustRightInd/>
        <w:snapToGrid/>
        <w:ind w:leftChars="0" w:firstLine="616"/>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psCustomData:val="-6" w:val="12"/>
          <w:kern w:val="0"/>
          <w:sz w:val="32"/>
          <w:szCs w:val="32"/>
        </w:rPr>
        <w:t>米面粮油、食品、日化洗护、家用电器等非医疗类日</w:t>
      </w:r>
      <w:r>
        <w:rPr>
          <w:rFonts w:hint="eastAsia" w:ascii="仿宋_GB2312" w:hAnsi="仿宋_GB2312" w:eastAsia="仿宋_GB2312" w:cs="仿宋_GB2312"/>
          <w:spacing wpsCustomData:val="-6" w:val="-6"/>
          <w:kern w:val="0"/>
          <w:sz w:val="32"/>
          <w:szCs w:val="32"/>
        </w:rPr>
        <w:t>用</w:t>
      </w:r>
      <w:r>
        <w:rPr>
          <w:rFonts w:hint="eastAsia" w:ascii="仿宋_GB2312" w:hAnsi="仿宋_GB2312" w:eastAsia="仿宋_GB2312" w:cs="仿宋_GB2312"/>
          <w:spacing w:val="-6"/>
          <w:kern w:val="0"/>
          <w:sz w:val="32"/>
          <w:szCs w:val="32"/>
        </w:rPr>
        <w:t>商品；</w:t>
      </w:r>
    </w:p>
    <w:p w14:paraId="1BB2DCB3">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体育健身、养生保健、单纯健康体检类产品及服务；</w:t>
      </w:r>
    </w:p>
    <w:p w14:paraId="5A6521B2">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仅取得医疗器械注册证、以日常生活功能为主要用途、临床医疗作用极低的器械产品；</w:t>
      </w:r>
    </w:p>
    <w:p w14:paraId="64BD2FD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美容、减肥、生发等非疾病治疗类药品、耗材；</w:t>
      </w:r>
    </w:p>
    <w:p w14:paraId="03D2FC06">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公共卫生自费项目、境外及港澳台就医费用、非普惠型商业健康保险保费（惠民保除外）；</w:t>
      </w:r>
    </w:p>
    <w:p w14:paraId="375F3B5E">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套现、转借医保卡、虚构就医购药、非备案亲属冒用等违法违规使用个人账户产生的支出。</w:t>
      </w:r>
    </w:p>
    <w:p w14:paraId="2F59E15B">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方正黑体_GBK" w:hAnsi="方正黑体_GBK" w:eastAsia="方正黑体_GBK" w:cs="方正黑体_GBK"/>
          <w:spacing w:val="-6"/>
          <w:kern w:val="0"/>
          <w:sz w:val="32"/>
          <w:szCs w:val="32"/>
        </w:rPr>
      </w:pPr>
      <w:r>
        <w:rPr>
          <w:rFonts w:hint="eastAsia" w:ascii="方正黑体_GBK" w:hAnsi="方正黑体_GBK" w:eastAsia="方正黑体_GBK" w:cs="方正黑体_GBK"/>
          <w:spacing w:val="-6"/>
          <w:kern w:val="0"/>
          <w:sz w:val="32"/>
          <w:szCs w:val="32"/>
        </w:rPr>
        <w:t>附则</w:t>
      </w:r>
    </w:p>
    <w:p w14:paraId="6329C01D">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仿宋_GB2312" w:hAnsi="仿宋_GB2312" w:eastAsia="仿宋_GB2312" w:cs="仿宋_GB2312"/>
          <w:spacing w:val="-6"/>
          <w:kern w:val="0"/>
          <w:sz w:val="32"/>
          <w:szCs w:val="32"/>
        </w:rPr>
      </w:pPr>
      <w:r>
        <w:rPr>
          <w:rFonts w:hint="eastAsia" w:ascii="仿宋_GB2312" w:hAnsi="仿宋_GB2312" w:eastAsia="仿宋_GB2312" w:cs="仿宋_GB2312"/>
          <w:spacing w:val="-6"/>
          <w:kern w:val="0"/>
          <w:sz w:val="32"/>
          <w:szCs w:val="32"/>
        </w:rPr>
        <w:t>本待遇标准正式印发后实施；我市原有同类医保待遇政策与此不一致的，以本待遇标准为准；实施前已完成结算的医疗费用不追溯调整。</w:t>
      </w:r>
    </w:p>
    <w:p w14:paraId="3B2793FA">
      <w:pPr>
        <w:pStyle w:val="11"/>
        <w:pageBreakBefore w:val="0"/>
        <w:widowControl/>
        <w:numPr>
          <w:ilvl w:val="0"/>
          <w:numId w:val="0"/>
        </w:numPr>
        <w:kinsoku/>
        <w:wordWrap/>
        <w:overflowPunct/>
        <w:topLinePunct w:val="0"/>
        <w:autoSpaceDE/>
        <w:autoSpaceDN/>
        <w:bidi w:val="0"/>
        <w:adjustRightInd/>
        <w:snapToGrid/>
        <w:ind w:leftChars="0" w:firstLine="616" w:firstLineChars="200"/>
        <w:jc w:val="both"/>
        <w:textAlignment w:val="auto"/>
        <w:rPr>
          <w:rFonts w:hint="eastAsia" w:ascii="Times New Roman" w:hAnsi="Times New Roman" w:eastAsia="仿宋_GB2312" w:cs="仿宋_GB2312"/>
          <w:spacing w:val="-6"/>
          <w:kern w:val="0"/>
          <w:sz w:val="32"/>
          <w:szCs w:val="32"/>
        </w:rPr>
      </w:pPr>
      <w:r>
        <w:rPr>
          <w:rFonts w:hint="eastAsia" w:ascii="仿宋_GB2312" w:hAnsi="仿宋_GB2312" w:eastAsia="仿宋_GB2312" w:cs="仿宋_GB2312"/>
          <w:spacing w:val="-6"/>
          <w:kern w:val="0"/>
          <w:sz w:val="32"/>
          <w:szCs w:val="32"/>
        </w:rPr>
        <w:t>国家、省后续出台新医保政策的，按照上级文件同步调整本标准相关条款。本待遇标准由枣庄市医疗保障局负责解释。</w:t>
      </w:r>
      <mc:AlternateContent>
        <mc:Choice Requires="wpsCustomData">
          <wpsCustomData:docfieldEnd id="1"/>
        </mc:Choice>
      </mc:AlternateContent>
    </w:p>
    <w:sectPr>
      <w:headerReference r:id="rId5" w:type="default"/>
      <w:footerReference r:id="rId7" w:type="default"/>
      <w:headerReference r:id="rId6" w:type="even"/>
      <w:footerReference r:id="rId8" w:type="even"/>
      <w:pgSz w:w="11905" w:h="16840"/>
      <w:pgMar w:top="2098" w:right="1474" w:bottom="1984" w:left="1587" w:header="851" w:footer="1417"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45CBDCD1-1912-4F1F-B4EF-E067E8B9778D}"/>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embedRegular r:id="rId2" w:fontKey="{FA72B6C7-EE81-4D57-8BE0-CDD5CA1DFE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6C84B">
    <w:r>
      <w:rPr>
        <w:sz w:val="32"/>
      </w:rPr>
      <w:pict>
        <v:shape id="_x0000_s4097" o:spid="_x0000_s4097" o:spt="202" type="#_x0000_t202" style="position:absolute;left:0pt;margin-top:1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16pt,0mm,16pt,0mm" style="mso-fit-shape-to-text:t;">
            <w:txbxContent>
              <w:p w14:paraId="54AFF15D">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E36CE">
    <w:pPr>
      <w:pStyle w:val="12"/>
    </w:pPr>
    <w:r>
      <w:rPr>
        <w:sz w:val="18"/>
      </w:rPr>
      <w:pict>
        <v:shape id="_x0000_s4098" o:spid="_x0000_s4098" o:spt="202" type="#_x0000_t202" style="position:absolute;left:0pt;margin-top:1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16pt,0mm,16pt,0mm" style="mso-fit-shape-to-text:t;">
            <w:txbxContent>
              <w:p w14:paraId="4D74F1A5">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1803C">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5E02E">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evenAndOddHeaders w:val="1"/>
  <w:displayHorizontalDrawingGridEvery w:val="1"/>
  <w:displayVerticalDrawingGridEvery w:val="1"/>
  <w:noPunctuationKerning w:val="1"/>
  <w:hdrShapeDefaults>
    <o:shapelayout v:ext="edit">
      <o:idmap v:ext="edit" data="3,4"/>
    </o:shapelayout>
  </w:hdrShapeDefaults>
  <w:footnotePr>
    <w:footnote w:id="0"/>
    <w:footnote w:id="1"/>
  </w:footnotePr>
  <w:endnotePr>
    <w:endnote w:id="0"/>
    <w:endnote w:id="1"/>
  </w:endnotePr>
  <w:compat>
    <w:balanceSingleByteDoubleByteWidth/>
    <w:doNotExpandShiftReturn/>
    <w:adjustLineHeightInTable/>
    <w:doNotWrapTextWithPunct/>
    <w:doNotUseEastAsianBreakRules/>
    <w:useFELayout/>
    <w:splitPgBreakAndParaMark/>
    <w:compatSetting w:name="compatibilityMode" w:uri="http://schemas.microsoft.com/office/word" w:val="12"/>
  </w:compat>
  <w:rsids>
    <w:rsidRoot w:val="00000000"/>
    <w:rsid w:val="00D91AD2"/>
    <w:rsid w:val="00E50F0C"/>
    <w:rsid w:val="00E97E34"/>
    <w:rsid w:val="015725E6"/>
    <w:rsid w:val="01826A17"/>
    <w:rsid w:val="018F38F6"/>
    <w:rsid w:val="02203B3A"/>
    <w:rsid w:val="023A582E"/>
    <w:rsid w:val="033F6234"/>
    <w:rsid w:val="048E122E"/>
    <w:rsid w:val="049814B9"/>
    <w:rsid w:val="04A63ABD"/>
    <w:rsid w:val="0573489A"/>
    <w:rsid w:val="05A622AC"/>
    <w:rsid w:val="05C95C3A"/>
    <w:rsid w:val="05FD2CB4"/>
    <w:rsid w:val="06BC662B"/>
    <w:rsid w:val="07421D53"/>
    <w:rsid w:val="07761A22"/>
    <w:rsid w:val="0783792F"/>
    <w:rsid w:val="07883904"/>
    <w:rsid w:val="07DF1E5D"/>
    <w:rsid w:val="07EB634C"/>
    <w:rsid w:val="082F79F4"/>
    <w:rsid w:val="08C547EB"/>
    <w:rsid w:val="094E2338"/>
    <w:rsid w:val="096977A7"/>
    <w:rsid w:val="098971D2"/>
    <w:rsid w:val="09E244F6"/>
    <w:rsid w:val="0A3B1E0E"/>
    <w:rsid w:val="0A84617A"/>
    <w:rsid w:val="0AC5450B"/>
    <w:rsid w:val="0B032C32"/>
    <w:rsid w:val="0B490CDB"/>
    <w:rsid w:val="0CCD48BE"/>
    <w:rsid w:val="0CE760D6"/>
    <w:rsid w:val="0CFD51A3"/>
    <w:rsid w:val="0D9D1E23"/>
    <w:rsid w:val="0DBE0332"/>
    <w:rsid w:val="0E3177FA"/>
    <w:rsid w:val="0FF367F1"/>
    <w:rsid w:val="11154497"/>
    <w:rsid w:val="114A37E2"/>
    <w:rsid w:val="11D10BBA"/>
    <w:rsid w:val="11D566EF"/>
    <w:rsid w:val="121C0CBE"/>
    <w:rsid w:val="124206A4"/>
    <w:rsid w:val="12420BC5"/>
    <w:rsid w:val="13164834"/>
    <w:rsid w:val="162C1DB5"/>
    <w:rsid w:val="164D33CA"/>
    <w:rsid w:val="167A4E0A"/>
    <w:rsid w:val="178A5BB1"/>
    <w:rsid w:val="179F659D"/>
    <w:rsid w:val="18711035"/>
    <w:rsid w:val="19075A06"/>
    <w:rsid w:val="190873AA"/>
    <w:rsid w:val="19597B40"/>
    <w:rsid w:val="196A3697"/>
    <w:rsid w:val="19D052F5"/>
    <w:rsid w:val="1A0B3949"/>
    <w:rsid w:val="1A734CB5"/>
    <w:rsid w:val="1AA72BF2"/>
    <w:rsid w:val="1AAE40E6"/>
    <w:rsid w:val="1AF86757"/>
    <w:rsid w:val="1B7C407F"/>
    <w:rsid w:val="1C874C0A"/>
    <w:rsid w:val="1CE15ED1"/>
    <w:rsid w:val="1CEE356B"/>
    <w:rsid w:val="1D56536F"/>
    <w:rsid w:val="1D664D52"/>
    <w:rsid w:val="1DF82414"/>
    <w:rsid w:val="1FF04A0B"/>
    <w:rsid w:val="1FF95C33"/>
    <w:rsid w:val="20341566"/>
    <w:rsid w:val="20B73B1F"/>
    <w:rsid w:val="21006ACE"/>
    <w:rsid w:val="210E2B59"/>
    <w:rsid w:val="213857FC"/>
    <w:rsid w:val="21634E12"/>
    <w:rsid w:val="21694357"/>
    <w:rsid w:val="21F539D5"/>
    <w:rsid w:val="22341ABF"/>
    <w:rsid w:val="22743D02"/>
    <w:rsid w:val="22D95913"/>
    <w:rsid w:val="23545CC6"/>
    <w:rsid w:val="23DD33BF"/>
    <w:rsid w:val="24191DC1"/>
    <w:rsid w:val="24321718"/>
    <w:rsid w:val="246460D5"/>
    <w:rsid w:val="25203A2E"/>
    <w:rsid w:val="25DB517C"/>
    <w:rsid w:val="26474FEE"/>
    <w:rsid w:val="26F17200"/>
    <w:rsid w:val="27405633"/>
    <w:rsid w:val="27AA33F7"/>
    <w:rsid w:val="28F878F8"/>
    <w:rsid w:val="28FD6063"/>
    <w:rsid w:val="29C82E89"/>
    <w:rsid w:val="29CB1FF6"/>
    <w:rsid w:val="2A191E19"/>
    <w:rsid w:val="2A4E4E38"/>
    <w:rsid w:val="2A8818D5"/>
    <w:rsid w:val="2B9A7CF1"/>
    <w:rsid w:val="2BC511C1"/>
    <w:rsid w:val="2C0627E4"/>
    <w:rsid w:val="2C206CAE"/>
    <w:rsid w:val="2CCD4121"/>
    <w:rsid w:val="2D127E5C"/>
    <w:rsid w:val="2D4010AF"/>
    <w:rsid w:val="2D730B94"/>
    <w:rsid w:val="2DDD747D"/>
    <w:rsid w:val="2E4E0877"/>
    <w:rsid w:val="2E5406B8"/>
    <w:rsid w:val="2E644C2A"/>
    <w:rsid w:val="2EDB4780"/>
    <w:rsid w:val="2F2845CB"/>
    <w:rsid w:val="2FBD649C"/>
    <w:rsid w:val="302D3DDF"/>
    <w:rsid w:val="310C0A57"/>
    <w:rsid w:val="311A0623"/>
    <w:rsid w:val="316076E8"/>
    <w:rsid w:val="31744942"/>
    <w:rsid w:val="3231094A"/>
    <w:rsid w:val="324059AE"/>
    <w:rsid w:val="32C51E6C"/>
    <w:rsid w:val="334137F6"/>
    <w:rsid w:val="338600FE"/>
    <w:rsid w:val="338C167E"/>
    <w:rsid w:val="34700C9D"/>
    <w:rsid w:val="34831ECD"/>
    <w:rsid w:val="34D97170"/>
    <w:rsid w:val="35B3220D"/>
    <w:rsid w:val="35DF717A"/>
    <w:rsid w:val="36093B70"/>
    <w:rsid w:val="360F7607"/>
    <w:rsid w:val="36252EF1"/>
    <w:rsid w:val="364C094E"/>
    <w:rsid w:val="3684230E"/>
    <w:rsid w:val="36A42101"/>
    <w:rsid w:val="37BF693F"/>
    <w:rsid w:val="37F772FC"/>
    <w:rsid w:val="3947533E"/>
    <w:rsid w:val="39805122"/>
    <w:rsid w:val="3A0203D6"/>
    <w:rsid w:val="3A6D23BA"/>
    <w:rsid w:val="3AAC3D94"/>
    <w:rsid w:val="3AEE14B2"/>
    <w:rsid w:val="3E3478B1"/>
    <w:rsid w:val="3E9911BA"/>
    <w:rsid w:val="3EB2553E"/>
    <w:rsid w:val="3EBC67D0"/>
    <w:rsid w:val="3F033FEC"/>
    <w:rsid w:val="3F221B50"/>
    <w:rsid w:val="404E573A"/>
    <w:rsid w:val="406D1E78"/>
    <w:rsid w:val="40B03CFF"/>
    <w:rsid w:val="40D429BF"/>
    <w:rsid w:val="41265D6F"/>
    <w:rsid w:val="41316A90"/>
    <w:rsid w:val="415236B1"/>
    <w:rsid w:val="4199221E"/>
    <w:rsid w:val="41C95ABA"/>
    <w:rsid w:val="41DC4724"/>
    <w:rsid w:val="423C067C"/>
    <w:rsid w:val="42771A4C"/>
    <w:rsid w:val="439D67BD"/>
    <w:rsid w:val="43AE5775"/>
    <w:rsid w:val="43B00525"/>
    <w:rsid w:val="444810D2"/>
    <w:rsid w:val="447C0557"/>
    <w:rsid w:val="470E630B"/>
    <w:rsid w:val="4783425B"/>
    <w:rsid w:val="478861B3"/>
    <w:rsid w:val="47B25AC8"/>
    <w:rsid w:val="47F61DDB"/>
    <w:rsid w:val="4851608C"/>
    <w:rsid w:val="48662BA5"/>
    <w:rsid w:val="487650FA"/>
    <w:rsid w:val="48D54374"/>
    <w:rsid w:val="4A4C6A70"/>
    <w:rsid w:val="4B657B84"/>
    <w:rsid w:val="4C5D0598"/>
    <w:rsid w:val="4CB26B4E"/>
    <w:rsid w:val="4CD20814"/>
    <w:rsid w:val="4DDE2499"/>
    <w:rsid w:val="4DE57A1D"/>
    <w:rsid w:val="4F535E68"/>
    <w:rsid w:val="4FC13F6E"/>
    <w:rsid w:val="4FDF015D"/>
    <w:rsid w:val="500656EA"/>
    <w:rsid w:val="50384D7E"/>
    <w:rsid w:val="50BC7E37"/>
    <w:rsid w:val="50CF34AE"/>
    <w:rsid w:val="50E24360"/>
    <w:rsid w:val="50EC69CB"/>
    <w:rsid w:val="510460CD"/>
    <w:rsid w:val="513E0EB3"/>
    <w:rsid w:val="51C770FB"/>
    <w:rsid w:val="51FD6085"/>
    <w:rsid w:val="522003B6"/>
    <w:rsid w:val="522A0EBE"/>
    <w:rsid w:val="52EB744D"/>
    <w:rsid w:val="537D749D"/>
    <w:rsid w:val="5388703E"/>
    <w:rsid w:val="538A3E42"/>
    <w:rsid w:val="53A22192"/>
    <w:rsid w:val="545A437B"/>
    <w:rsid w:val="549D29D2"/>
    <w:rsid w:val="555E33D0"/>
    <w:rsid w:val="557856C0"/>
    <w:rsid w:val="55C710CF"/>
    <w:rsid w:val="563A433F"/>
    <w:rsid w:val="566F5D92"/>
    <w:rsid w:val="57151371"/>
    <w:rsid w:val="57817FB1"/>
    <w:rsid w:val="579615CE"/>
    <w:rsid w:val="58122797"/>
    <w:rsid w:val="586B5580"/>
    <w:rsid w:val="58AD704A"/>
    <w:rsid w:val="59121CD9"/>
    <w:rsid w:val="5AD07876"/>
    <w:rsid w:val="5B6151B8"/>
    <w:rsid w:val="5BE5286D"/>
    <w:rsid w:val="5C0B1869"/>
    <w:rsid w:val="5C1B09F0"/>
    <w:rsid w:val="5C245548"/>
    <w:rsid w:val="5C677ECC"/>
    <w:rsid w:val="5C914484"/>
    <w:rsid w:val="5CFE5DDD"/>
    <w:rsid w:val="5D1038AF"/>
    <w:rsid w:val="5D1F5C76"/>
    <w:rsid w:val="5DD155AC"/>
    <w:rsid w:val="5EA86317"/>
    <w:rsid w:val="5F054764"/>
    <w:rsid w:val="5F5C7FF3"/>
    <w:rsid w:val="5FE12C6B"/>
    <w:rsid w:val="602602EB"/>
    <w:rsid w:val="610508AB"/>
    <w:rsid w:val="61151F2B"/>
    <w:rsid w:val="61605860"/>
    <w:rsid w:val="61AE1680"/>
    <w:rsid w:val="622C2C9E"/>
    <w:rsid w:val="62F87114"/>
    <w:rsid w:val="62FD061D"/>
    <w:rsid w:val="636F454B"/>
    <w:rsid w:val="63A252D2"/>
    <w:rsid w:val="63FE6DE5"/>
    <w:rsid w:val="64133E95"/>
    <w:rsid w:val="64672956"/>
    <w:rsid w:val="64D37E39"/>
    <w:rsid w:val="656E5554"/>
    <w:rsid w:val="65C55A50"/>
    <w:rsid w:val="65FF081D"/>
    <w:rsid w:val="672843FB"/>
    <w:rsid w:val="67684FD9"/>
    <w:rsid w:val="67B950C9"/>
    <w:rsid w:val="68151C09"/>
    <w:rsid w:val="68411AA8"/>
    <w:rsid w:val="68A410B5"/>
    <w:rsid w:val="68C64A8F"/>
    <w:rsid w:val="696A205C"/>
    <w:rsid w:val="69D45E05"/>
    <w:rsid w:val="69E5617E"/>
    <w:rsid w:val="6A5410DE"/>
    <w:rsid w:val="6AC7662B"/>
    <w:rsid w:val="6ADF5FF1"/>
    <w:rsid w:val="6AF042AC"/>
    <w:rsid w:val="6B376C47"/>
    <w:rsid w:val="6B6D62B4"/>
    <w:rsid w:val="6B9E5CFE"/>
    <w:rsid w:val="6BCF2DCD"/>
    <w:rsid w:val="6C1F72E4"/>
    <w:rsid w:val="6CA218CA"/>
    <w:rsid w:val="6CCD5F66"/>
    <w:rsid w:val="6D2A26B9"/>
    <w:rsid w:val="6D667A0C"/>
    <w:rsid w:val="6D6A7E15"/>
    <w:rsid w:val="6D853DB6"/>
    <w:rsid w:val="6DCA7284"/>
    <w:rsid w:val="6E1079A3"/>
    <w:rsid w:val="6E277803"/>
    <w:rsid w:val="6E7E1B1C"/>
    <w:rsid w:val="6EDC23CE"/>
    <w:rsid w:val="6EFB5E35"/>
    <w:rsid w:val="6F041DB3"/>
    <w:rsid w:val="6F274DF5"/>
    <w:rsid w:val="6F6D5FA3"/>
    <w:rsid w:val="6F716E46"/>
    <w:rsid w:val="6F91185B"/>
    <w:rsid w:val="6FAA29C1"/>
    <w:rsid w:val="6FAE46B5"/>
    <w:rsid w:val="70461CAB"/>
    <w:rsid w:val="70774738"/>
    <w:rsid w:val="717D272B"/>
    <w:rsid w:val="72103D05"/>
    <w:rsid w:val="725F27E1"/>
    <w:rsid w:val="72E07C4B"/>
    <w:rsid w:val="73914EC0"/>
    <w:rsid w:val="741C36E5"/>
    <w:rsid w:val="74460532"/>
    <w:rsid w:val="746D7236"/>
    <w:rsid w:val="74E45DB2"/>
    <w:rsid w:val="759C34B7"/>
    <w:rsid w:val="76161E04"/>
    <w:rsid w:val="771D13D6"/>
    <w:rsid w:val="77D92F1F"/>
    <w:rsid w:val="77DE4604"/>
    <w:rsid w:val="77E245D8"/>
    <w:rsid w:val="78097D99"/>
    <w:rsid w:val="78566AD9"/>
    <w:rsid w:val="79B44CCE"/>
    <w:rsid w:val="79CD2C51"/>
    <w:rsid w:val="7A175F5A"/>
    <w:rsid w:val="7A610EEE"/>
    <w:rsid w:val="7A91688C"/>
    <w:rsid w:val="7A9E7181"/>
    <w:rsid w:val="7AF661D7"/>
    <w:rsid w:val="7B1F37B5"/>
    <w:rsid w:val="7B333811"/>
    <w:rsid w:val="7B4C27D2"/>
    <w:rsid w:val="7B6B3376"/>
    <w:rsid w:val="7BE20212"/>
    <w:rsid w:val="7CF22729"/>
    <w:rsid w:val="7D0E17AC"/>
    <w:rsid w:val="7D5614E3"/>
    <w:rsid w:val="7D6B282B"/>
    <w:rsid w:val="7E68119A"/>
    <w:rsid w:val="7E770B5E"/>
    <w:rsid w:val="7EDD49E2"/>
    <w:rsid w:val="7F07220F"/>
    <w:rsid w:val="7F5E72BF"/>
    <w:rsid w:val="7F6F270E"/>
    <w:rsid w:val="7FBA4863"/>
    <w:rsid w:val="7FC95212"/>
    <w:rsid w:val="7FFF5D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next w:val="1"/>
    <w:link w:val="23"/>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5"/>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24"/>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Body Text"/>
    <w:link w:val="26"/>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19">
    <w:name w:val="Strong"/>
    <w:basedOn w:val="18"/>
    <w:qFormat/>
    <w:uiPriority w:val="0"/>
    <w:rPr>
      <w:b/>
    </w:rPr>
  </w:style>
  <w:style w:type="paragraph" w:customStyle="1" w:styleId="20">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paragraph" w:customStyle="1" w:styleId="21">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paragraph" w:customStyle="1" w:styleId="22">
    <w:name w:val="表格标题"/>
    <w:next w:val="1"/>
    <w:qFormat/>
    <w:uiPriority w:val="0"/>
    <w:pPr>
      <w:overflowPunct w:val="0"/>
      <w:topLinePunct/>
      <w:spacing w:line="560" w:lineRule="exact"/>
      <w:jc w:val="center"/>
      <w:outlineLvl w:val="9"/>
    </w:pPr>
    <w:rPr>
      <w:rFonts w:ascii="Times New Roman" w:hAnsi="Times New Roman" w:eastAsia="仿宋_GB2312" w:cs="仿宋_GB2312"/>
      <w:spacing w:val="-6"/>
      <w:kern w:val="0"/>
      <w:sz w:val="32"/>
      <w:szCs w:val="32"/>
    </w:rPr>
  </w:style>
  <w:style w:type="character" w:customStyle="1" w:styleId="23">
    <w:name w:val="标题 1 Char"/>
    <w:link w:val="2"/>
    <w:qFormat/>
    <w:uiPriority w:val="0"/>
    <w:rPr>
      <w:rFonts w:ascii="黑体" w:hAnsi="黑体" w:eastAsia="黑体" w:cs="黑体"/>
      <w:kern w:val="44"/>
      <w:sz w:val="32"/>
      <w:szCs w:val="32"/>
    </w:rPr>
  </w:style>
  <w:style w:type="character" w:customStyle="1" w:styleId="24">
    <w:name w:val="标题 3 Char"/>
    <w:link w:val="4"/>
    <w:qFormat/>
    <w:uiPriority w:val="0"/>
    <w:rPr>
      <w:rFonts w:ascii="Times New Roman" w:hAnsi="Times New Roman" w:eastAsia="仿宋_GB2312" w:cs="仿宋_GB2312"/>
      <w:sz w:val="32"/>
      <w:szCs w:val="32"/>
    </w:rPr>
  </w:style>
  <w:style w:type="character" w:customStyle="1" w:styleId="25">
    <w:name w:val="标题 2 Char"/>
    <w:link w:val="3"/>
    <w:qFormat/>
    <w:uiPriority w:val="0"/>
    <w:rPr>
      <w:rFonts w:ascii="Times New Roman" w:hAnsi="Times New Roman" w:eastAsia="楷体_GB2312" w:cs="楷体_GB2312"/>
      <w:sz w:val="32"/>
      <w:szCs w:val="32"/>
    </w:rPr>
  </w:style>
  <w:style w:type="character" w:customStyle="1" w:styleId="26">
    <w:name w:val="正文文本 字符"/>
    <w:basedOn w:val="18"/>
    <w:link w:val="11"/>
    <w:qFormat/>
    <w:uiPriority w:val="0"/>
    <w:rPr>
      <w:rFonts w:hint="eastAsia" w:ascii="仿宋_GB2312" w:eastAsia="仿宋_GB2312" w:cs="仿宋_GB2312"/>
      <w:spacing w:val="-6"/>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13256</Words>
  <Characters>13592</Characters>
  <TotalTime>515</TotalTime>
  <ScaleCrop>false</ScaleCrop>
  <LinksUpToDate>false</LinksUpToDate>
  <CharactersWithSpaces>13612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2026-07-28T01:03:00Z</dcterms:created>
  <dc:creator>Apache POI</dc:creator>
  <cp:lastModifiedBy>张建军</cp:lastModifiedBy>
  <cp:lastPrinted>2026-08-13T06:51:00Z</cp:lastPrinted>
  <dcterms:modified xsi:type="dcterms:W3CDTF">2026-09-07T02:20:55Z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{"Label":"1","ContentProducer":"001191110102MACQD9K64010000","ProduceID":"7667378102897937367","ReservedCode1":"","ContentPropagator":"","PropagateID":"","ReservedCode2":""}</vt:lpwstr>
  </property>
  <property fmtid="{D5CDD505-2E9C-101B-9397-08002B2CF9AE}" pid="3" name="KSOTemplateDocerSaveRecord">
    <vt:lpwstr>eyJoZGlkIjoiMzVkZmRlMmUwZTQ2ZTk5NTBjODRiNmUxMTJjY2JlMDMiLCJ1c2VySWQiOiI1MDAxMDMxNzQifQ==</vt:lpwstr>
  </property>
  <property fmtid="{D5CDD505-2E9C-101B-9397-08002B2CF9AE}" pid="4" name="KSOProductBuildVer">
    <vt:lpwstr>2052-12.1.0.28043</vt:lpwstr>
  </property>
  <property fmtid="{D5CDD505-2E9C-101B-9397-08002B2CF9AE}" pid="5" name="ICV">
    <vt:lpwstr>DB038CAA11174A359F7130BB436C30DE_12</vt:lpwstr>
  </property>
</Properties>
</file>