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50BD5">
      <w:pPr>
        <w:keepNext w:val="0"/>
        <w:keepLines w:val="0"/>
        <w:pageBreakBefore w:val="0"/>
        <w:widowControl w:val="0"/>
        <w:suppressLineNumbers w:val="0"/>
        <w:tabs>
          <w:tab w:val="left" w:pos="3906"/>
        </w:tabs>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_GB2312" w:cs="Times New Roman"/>
          <w:sz w:val="32"/>
          <w:szCs w:val="32"/>
          <w:lang w:eastAsia="zh-CN"/>
        </w:rPr>
      </w:pPr>
    </w:p>
    <w:p w14:paraId="5D44F28B">
      <w:pPr>
        <w:keepNext w:val="0"/>
        <w:keepLines w:val="0"/>
        <w:pageBreakBefore w:val="0"/>
        <w:widowControl w:val="0"/>
        <w:kinsoku/>
        <w:wordWrap/>
        <w:overflowPunct/>
        <w:topLinePunct w:val="0"/>
        <w:autoSpaceDE/>
        <w:autoSpaceDN/>
        <w:bidi w:val="0"/>
        <w:adjustRightInd/>
        <w:snapToGrid/>
        <w:spacing w:after="0" w:line="1400" w:lineRule="exact"/>
        <w:jc w:val="center"/>
        <w:textAlignment w:val="auto"/>
        <w:rPr>
          <w:rFonts w:hint="default" w:ascii="Times New Roman" w:hAnsi="Times New Roman" w:eastAsia="方正小标宋简体" w:cs="Times New Roman"/>
          <w:color w:val="FFFFFF" w:themeColor="background1"/>
          <w:w w:val="65"/>
          <w:kern w:val="0"/>
          <w:sz w:val="130"/>
          <w:szCs w:val="130"/>
          <w:lang w:val="en-US" w:eastAsia="zh-CN"/>
          <w14:textFill>
            <w14:solidFill>
              <w14:schemeClr w14:val="bg1"/>
            </w14:solidFill>
          </w14:textFill>
        </w:rPr>
      </w:pPr>
      <w:r>
        <w:rPr>
          <w:rFonts w:hint="default" w:ascii="Times New Roman" w:hAnsi="Times New Roman" w:eastAsia="方正小标宋简体" w:cs="Times New Roman"/>
          <w:color w:val="FFFFFF" w:themeColor="background1"/>
          <w:w w:val="65"/>
          <w:kern w:val="0"/>
          <w:sz w:val="130"/>
          <w:szCs w:val="130"/>
          <w:lang w:eastAsia="zh-CN"/>
          <w14:textFill>
            <w14:solidFill>
              <w14:schemeClr w14:val="bg1"/>
            </w14:solidFill>
          </w14:textFill>
        </w:rPr>
        <w:t>枣庄市</w:t>
      </w:r>
      <w:r>
        <w:rPr>
          <w:rFonts w:hint="default" w:ascii="Times New Roman" w:hAnsi="Times New Roman" w:eastAsia="方正小标宋简体" w:cs="Times New Roman"/>
          <w:color w:val="FFFFFF" w:themeColor="background1"/>
          <w:w w:val="65"/>
          <w:kern w:val="0"/>
          <w:sz w:val="130"/>
          <w:szCs w:val="130"/>
          <w14:textFill>
            <w14:solidFill>
              <w14:schemeClr w14:val="bg1"/>
            </w14:solidFill>
          </w14:textFill>
        </w:rPr>
        <w:t>医疗保障局</w:t>
      </w:r>
      <w:r>
        <w:rPr>
          <w:rFonts w:hint="default" w:ascii="Times New Roman" w:hAnsi="Times New Roman" w:eastAsia="方正小标宋简体" w:cs="Times New Roman"/>
          <w:color w:val="FFFFFF" w:themeColor="background1"/>
          <w:w w:val="65"/>
          <w:kern w:val="0"/>
          <w:sz w:val="130"/>
          <w:szCs w:val="130"/>
          <w:lang w:eastAsia="zh-CN"/>
          <w14:textFill>
            <w14:solidFill>
              <w14:schemeClr w14:val="bg1"/>
            </w14:solidFill>
          </w14:textFill>
        </w:rPr>
        <w:t>文件</w:t>
      </w:r>
    </w:p>
    <w:p w14:paraId="7F8915AE">
      <w:pPr>
        <w:pStyle w:val="2"/>
        <w:ind w:left="0" w:leftChars="0" w:firstLine="0" w:firstLineChars="0"/>
        <w:rPr>
          <w:rFonts w:hint="default" w:ascii="Times New Roman" w:hAnsi="Times New Roman" w:eastAsia="方正小标宋简体" w:cs="Times New Roman"/>
          <w:b w:val="0"/>
          <w:bCs w:val="0"/>
          <w:sz w:val="44"/>
          <w:szCs w:val="44"/>
          <w:lang w:val="en-US" w:eastAsia="zh-CN"/>
        </w:rPr>
      </w:pPr>
    </w:p>
    <w:p w14:paraId="70D6D68C">
      <w:pPr>
        <w:pStyle w:val="2"/>
        <w:ind w:left="0" w:leftChars="0" w:firstLine="0" w:firstLineChars="0"/>
        <w:rPr>
          <w:rFonts w:hint="default" w:ascii="Times New Roman" w:hAnsi="Times New Roman" w:cs="Times New Roman"/>
          <w:lang w:eastAsia="zh-CN"/>
        </w:rPr>
      </w:pPr>
    </w:p>
    <w:p w14:paraId="3B73BC57">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both"/>
        <w:textAlignment w:val="auto"/>
        <w:rPr>
          <w:rFonts w:hint="eastAsia" w:ascii="Times New Roman" w:hAnsi="Times New Roman" w:cs="Times New Roman"/>
          <w:kern w:val="2"/>
          <w:sz w:val="32"/>
          <w:szCs w:val="32"/>
          <w:lang w:val="en-US" w:eastAsia="zh-CN" w:bidi="ar-SA"/>
        </w:rPr>
      </w:pPr>
    </w:p>
    <w:p w14:paraId="6E996472">
      <w:pPr>
        <w:pStyle w:val="2"/>
        <w:keepNext w:val="0"/>
        <w:keepLines w:val="0"/>
        <w:pageBreakBefore w:val="0"/>
        <w:widowControl w:val="0"/>
        <w:kinsoku/>
        <w:wordWrap/>
        <w:overflowPunct/>
        <w:topLinePunct w:val="0"/>
        <w:autoSpaceDE/>
        <w:autoSpaceDN/>
        <w:bidi w:val="0"/>
        <w:adjustRightInd/>
        <w:snapToGrid/>
        <w:spacing w:after="0" w:line="800" w:lineRule="exact"/>
        <w:ind w:left="0" w:leftChars="0" w:firstLine="0" w:firstLineChars="0"/>
        <w:jc w:val="center"/>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cs="Times New Roman"/>
          <w:kern w:val="2"/>
          <w:sz w:val="32"/>
          <w:szCs w:val="32"/>
          <w:lang w:val="en-US" w:eastAsia="zh-CN" w:bidi="ar-SA"/>
        </w:rPr>
        <w:t>枣医保发〔2026〕12号</w:t>
      </w:r>
      <w:r>
        <w:rPr>
          <w:rFonts w:hint="default" w:ascii="Times New Roman" w:hAnsi="Times New Roman" w:cs="Times New Roman"/>
          <w:sz w:val="32"/>
        </w:rPr>
        <mc:AlternateContent>
          <mc:Choice Requires="wps">
            <w:drawing>
              <wp:anchor distT="0" distB="0" distL="114300" distR="114300" simplePos="0" relativeHeight="251660288" behindDoc="0" locked="0" layoutInCell="1" allowOverlap="1">
                <wp:simplePos x="0" y="0"/>
                <wp:positionH relativeFrom="column">
                  <wp:posOffset>-107950</wp:posOffset>
                </wp:positionH>
                <wp:positionV relativeFrom="paragraph">
                  <wp:posOffset>121285</wp:posOffset>
                </wp:positionV>
                <wp:extent cx="5760085" cy="0"/>
                <wp:effectExtent l="0" t="9525" r="12065" b="9525"/>
                <wp:wrapNone/>
                <wp:docPr id="3" name="直接连接符 3"/>
                <wp:cNvGraphicFramePr/>
                <a:graphic xmlns:a="http://schemas.openxmlformats.org/drawingml/2006/main">
                  <a:graphicData uri="http://schemas.microsoft.com/office/word/2010/wordprocessingShape">
                    <wps:wsp>
                      <wps:cNvCnPr/>
                      <wps:spPr>
                        <a:xfrm>
                          <a:off x="853440" y="3914775"/>
                          <a:ext cx="5760085" cy="0"/>
                        </a:xfrm>
                        <a:prstGeom prst="line">
                          <a:avLst/>
                        </a:prstGeom>
                        <a:ln w="19050" cmpd="sng">
                          <a:solidFill>
                            <a:schemeClr val="bg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5pt;margin-top:9.55pt;height:0pt;width:453.55pt;z-index:251660288;mso-width-relative:page;mso-height-relative:page;" filled="f" stroked="t" coordsize="21600,21600" o:gfxdata="UEsDBAoAAAAAAIdO4kAAAAAAAAAAAAAAAAAEAAAAZHJzL1BLAwQUAAAACACHTuJAPJnceNcAAAAJ&#10;AQAADwAAAGRycy9kb3ducmV2LnhtbE2PzU7DMBCE70i8g7VI3Fo7PUCaxukBhIQEFCUgcXXjbRwR&#10;r0Ps/vD2LOJQbrs7o9lvyvXJD+KAU+wDacjmCgRSG2xPnYb3t4dZDiImQ9YMgVDDN0ZYV5cXpSls&#10;OFKNhyZ1gkMoFkaDS2kspIytQ2/iPIxIrO3C5E3ideqkncyRw/0gF0rdSG964g/OjHjnsP1s9l6D&#10;/GieaowKv14W9avbPD7fb+pc6+urTK1AJDylsxl+8RkdKmbahj3ZKAYNs+yWuyQWlhkINuRLxcP2&#10;7yCrUv5vUP0AUEsDBBQAAAAIAIdO4kDm/1Q66AEAAKYDAAAOAAAAZHJzL2Uyb0RvYy54bWytU82O&#10;0zAQviPxDpbvNOm23XajpnvYqlwQVAIewHXsxJL/5PE27UvwAkjc4MSRO2/D8hiMnbALy2UP5OCM&#10;PV++me/zZH19MpocRQDlbE2nk5ISYblrlG1r+v7d7sWKEojMNkw7K2p6FkCvN8+frXtfiQvXOd2I&#10;QJDEQtX7mnYx+qoogHfCMJg4LywmpQuGRdyGtmgC65Hd6OKiLC+L3oXGB8cFAJ5uhyQdGcNTCJ2U&#10;iout47dG2DiwBqFZREnQKQ90k7uVUvD4RkoQkeiaotKYVyyC8SGtxWbNqjYw3yk+tsCe0sIjTYYp&#10;i0XvqbYsMnIb1D9URvHgwMk44c4Ug5DsCKqYlo+8edsxL7IWtBr8venw/2j56+M+ENXUdEaJZQYv&#10;/O7jtx8fPv/8/gnXu69fyCyZ1HuoEHtj92Hcgd+HpPgkg0lv1EJONV0tZvM5untGxqvpfLlcDB6L&#10;UyQc84vlZVmuFpRwRGT/iwcOHyC+FM6QFNRUK5vks4odX0HEugj9DUnH1u2U1vkKtSU9TvNVucDa&#10;nOFcSpwHDI1HbWBbSphuceB5DJkSnFZN+jwRQWgPNzqQI8Mx2eUndY3l/oKl2lsG3YDLqRGmLaKT&#10;R4MrKTq45pzNyud4fZlvHLU0H3/u89cPv9f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yZ3HjX&#10;AAAACQEAAA8AAAAAAAAAAQAgAAAAIgAAAGRycy9kb3ducmV2LnhtbFBLAQIUABQAAAAIAIdO4kDm&#10;/1Q66AEAAKYDAAAOAAAAAAAAAAEAIAAAACYBAABkcnMvZTJvRG9jLnhtbFBLBQYAAAAABgAGAFkB&#10;AACABQAAAAA=&#10;">
                <v:fill on="f" focussize="0,0"/>
                <v:stroke weight="1.5pt" color="#FFFFFF [3212]" joinstyle="round"/>
                <v:imagedata o:title=""/>
                <o:lock v:ext="edit" aspectratio="f"/>
              </v:line>
            </w:pict>
          </mc:Fallback>
        </mc:AlternateContent>
      </w:r>
    </w:p>
    <w:p w14:paraId="60DA570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kern w:val="0"/>
          <w:sz w:val="43"/>
          <w:szCs w:val="43"/>
          <w:lang w:val="en-US" w:eastAsia="zh-CN" w:bidi="ar"/>
        </w:rPr>
      </w:pPr>
    </w:p>
    <w:p w14:paraId="57E3995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kern w:val="0"/>
          <w:sz w:val="43"/>
          <w:szCs w:val="43"/>
          <w:lang w:val="en-US" w:eastAsia="zh-CN" w:bidi="ar"/>
        </w:rPr>
      </w:pPr>
      <w:r>
        <w:rPr>
          <w:rFonts w:hint="default" w:ascii="Times New Roman" w:hAnsi="Times New Roman" w:eastAsia="方正小标宋简体" w:cs="Times New Roman"/>
          <w:color w:val="000000"/>
          <w:kern w:val="0"/>
          <w:sz w:val="43"/>
          <w:szCs w:val="43"/>
          <w:lang w:val="en-US" w:eastAsia="zh-CN" w:bidi="ar"/>
        </w:rPr>
        <w:t>关于调整《枣庄市医疗保障系统权责清单》</w:t>
      </w:r>
    </w:p>
    <w:p w14:paraId="7ED9A8F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rPr>
      </w:pPr>
      <w:r>
        <w:rPr>
          <w:rFonts w:hint="default" w:ascii="Times New Roman" w:hAnsi="Times New Roman" w:eastAsia="方正小标宋简体" w:cs="Times New Roman"/>
          <w:color w:val="000000"/>
          <w:kern w:val="0"/>
          <w:sz w:val="43"/>
          <w:szCs w:val="43"/>
          <w:lang w:val="en-US" w:eastAsia="zh-CN" w:bidi="ar"/>
        </w:rPr>
        <w:t>的通知</w:t>
      </w:r>
    </w:p>
    <w:p w14:paraId="6FECB3EB">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color w:val="000000"/>
          <w:kern w:val="0"/>
          <w:sz w:val="32"/>
          <w:szCs w:val="32"/>
          <w:lang w:val="en-US" w:eastAsia="zh-CN" w:bidi="ar"/>
        </w:rPr>
      </w:pPr>
    </w:p>
    <w:p w14:paraId="1F5E329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各区（市）医疗保障局，市局各科、市医保中心：</w:t>
      </w:r>
    </w:p>
    <w:p w14:paraId="5E7CE04C">
      <w:pPr>
        <w:keepNext w:val="0"/>
        <w:keepLines w:val="0"/>
        <w:pageBreakBefore w:val="0"/>
        <w:widowControl/>
        <w:suppressLineNumbers w:val="0"/>
        <w:kinsoku/>
        <w:wordWrap/>
        <w:overflowPunct/>
        <w:topLinePunct w:val="0"/>
        <w:autoSpaceDE/>
        <w:autoSpaceDN/>
        <w:bidi w:val="0"/>
        <w:adjustRightInd/>
        <w:snapToGrid/>
        <w:spacing w:line="60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现将调整后的《枣庄市医疗保障系统权责清单》印发给你们，请认真抓好贯彻落实。 </w:t>
      </w:r>
    </w:p>
    <w:p w14:paraId="29AFAD1C">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《关于进一步调整&lt;枣庄市医疗保障局权责清单&gt;的通知》 （枣医保发〔2023〕48号）同时废止。</w:t>
      </w:r>
      <w:bookmarkStart w:id="0" w:name="_GoBack"/>
      <w:bookmarkEnd w:id="0"/>
    </w:p>
    <w:p w14:paraId="3722E955">
      <w:pPr>
        <w:rPr>
          <w:rFonts w:hint="default" w:ascii="Times New Roman" w:hAnsi="Times New Roman" w:cs="Times New Roman"/>
        </w:rPr>
      </w:pPr>
    </w:p>
    <w:p w14:paraId="69E1AEE1">
      <w:pPr>
        <w:rPr>
          <w:rFonts w:hint="default" w:ascii="Times New Roman" w:hAnsi="Times New Roman" w:cs="Times New Roman"/>
        </w:rPr>
      </w:pPr>
    </w:p>
    <w:p w14:paraId="5CDED635">
      <w:pPr>
        <w:rPr>
          <w:rFonts w:hint="default" w:ascii="Times New Roman" w:hAnsi="Times New Roman" w:cs="Times New Roman"/>
        </w:rPr>
      </w:pPr>
    </w:p>
    <w:p w14:paraId="5FCA186C">
      <w:pPr>
        <w:ind w:left="5880" w:hanging="5880" w:hangingChars="2800"/>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枣庄市医疗保障局</w:t>
      </w:r>
      <w:r>
        <w:rPr>
          <w:rFonts w:hint="eastAsia" w:ascii="Times New Roman" w:hAnsi="Times New Roman" w:eastAsia="仿宋_GB2312" w:cs="Times New Roman"/>
          <w:sz w:val="32"/>
          <w:szCs w:val="32"/>
          <w:lang w:val="en-US" w:eastAsia="zh-CN"/>
        </w:rPr>
        <w:t xml:space="preserve">  </w:t>
      </w:r>
    </w:p>
    <w:p w14:paraId="1A4434BC">
      <w:pPr>
        <w:ind w:firstLine="5120" w:firstLineChars="16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2026年7月</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 xml:space="preserve">日                                            </w:t>
      </w:r>
    </w:p>
    <w:p w14:paraId="785AD52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p>
    <w:p w14:paraId="01E599E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sectPr>
          <w:headerReference r:id="rId3" w:type="default"/>
          <w:footerReference r:id="rId4" w:type="default"/>
          <w:pgSz w:w="11906" w:h="16838"/>
          <w:pgMar w:top="1701" w:right="1531" w:bottom="1701" w:left="1531" w:header="851" w:footer="964" w:gutter="0"/>
          <w:pgBorders>
            <w:top w:val="none" w:sz="0" w:space="0"/>
            <w:left w:val="none" w:sz="0" w:space="0"/>
            <w:bottom w:val="none" w:sz="0" w:space="0"/>
            <w:right w:val="none" w:sz="0" w:space="0"/>
          </w:pgBorders>
          <w:pgNumType w:fmt="decimal"/>
          <w:cols w:space="0" w:num="1"/>
          <w:rtlGutter w:val="0"/>
          <w:docGrid w:type="lines" w:linePitch="315" w:charSpace="0"/>
        </w:sectPr>
      </w:pPr>
      <w:r>
        <w:rPr>
          <w:rFonts w:hint="default" w:ascii="Times New Roman" w:hAnsi="Times New Roman" w:eastAsia="仿宋_GB2312" w:cs="Times New Roman"/>
          <w:color w:val="000000"/>
          <w:kern w:val="0"/>
          <w:sz w:val="32"/>
          <w:szCs w:val="32"/>
          <w:lang w:val="en-US" w:eastAsia="zh-CN" w:bidi="ar"/>
        </w:rPr>
        <w:t>（此件主动公开）</w:t>
      </w:r>
    </w:p>
    <w:p w14:paraId="600D86BA">
      <w:pPr>
        <w:keepNext w:val="0"/>
        <w:keepLines w:val="0"/>
        <w:pageBreakBefore w:val="0"/>
        <w:widowControl w:val="0"/>
        <w:kinsoku/>
        <w:wordWrap/>
        <w:overflowPunct/>
        <w:topLinePunct w:val="0"/>
        <w:autoSpaceDE/>
        <w:autoSpaceDN/>
        <w:bidi w:val="0"/>
        <w:adjustRightInd/>
        <w:snapToGrid/>
        <w:spacing w:before="159" w:beforeLines="50" w:after="159" w:afterLines="50" w:line="590" w:lineRule="exact"/>
        <w:jc w:val="center"/>
        <w:textAlignment w:val="auto"/>
        <w:rPr>
          <w:rFonts w:hint="eastAsia" w:ascii="Times New Roman" w:hAnsi="Times New Roman" w:eastAsia="仿宋_GB2312" w:cs="仿宋_GB2312"/>
          <w:sz w:val="44"/>
          <w:szCs w:val="44"/>
          <w:lang w:val="en-US" w:eastAsia="zh-CN"/>
        </w:rPr>
      </w:pPr>
      <w:r>
        <w:rPr>
          <w:rFonts w:hint="eastAsia" w:ascii="方正小标宋简体" w:hAnsi="方正小标宋简体" w:eastAsia="方正小标宋简体" w:cs="方正小标宋简体"/>
          <w:i w:val="0"/>
          <w:iCs w:val="0"/>
          <w:color w:val="auto"/>
          <w:kern w:val="0"/>
          <w:sz w:val="44"/>
          <w:szCs w:val="44"/>
          <w:u w:val="none"/>
          <w:lang w:val="en-US" w:eastAsia="zh-CN" w:bidi="ar"/>
        </w:rPr>
        <w:t>枣庄市医疗保障系统权责清单（行政处罚）</w:t>
      </w:r>
    </w:p>
    <w:tbl>
      <w:tblPr>
        <w:tblStyle w:val="12"/>
        <w:tblW w:w="15307" w:type="dxa"/>
        <w:jc w:val="center"/>
        <w:tblLayout w:type="fixed"/>
        <w:tblCellMar>
          <w:top w:w="0" w:type="dxa"/>
          <w:left w:w="28" w:type="dxa"/>
          <w:bottom w:w="0" w:type="dxa"/>
          <w:right w:w="28" w:type="dxa"/>
        </w:tblCellMar>
      </w:tblPr>
      <w:tblGrid>
        <w:gridCol w:w="377"/>
        <w:gridCol w:w="1289"/>
        <w:gridCol w:w="871"/>
        <w:gridCol w:w="841"/>
        <w:gridCol w:w="579"/>
        <w:gridCol w:w="4054"/>
        <w:gridCol w:w="401"/>
        <w:gridCol w:w="718"/>
        <w:gridCol w:w="3583"/>
        <w:gridCol w:w="2090"/>
        <w:gridCol w:w="504"/>
      </w:tblGrid>
      <w:tr w14:paraId="47A5EE87">
        <w:tblPrEx>
          <w:tblCellMar>
            <w:top w:w="0" w:type="dxa"/>
            <w:left w:w="28" w:type="dxa"/>
            <w:bottom w:w="0" w:type="dxa"/>
            <w:right w:w="28" w:type="dxa"/>
          </w:tblCellMar>
        </w:tblPrEx>
        <w:trPr>
          <w:trHeight w:val="676" w:hRule="atLeast"/>
          <w:tblHeader/>
          <w:jc w:val="center"/>
        </w:trPr>
        <w:tc>
          <w:tcPr>
            <w:tcW w:w="377" w:type="dxa"/>
            <w:tcBorders>
              <w:top w:val="single" w:color="auto" w:sz="4" w:space="0"/>
              <w:left w:val="single" w:color="auto" w:sz="4" w:space="0"/>
              <w:bottom w:val="single" w:color="auto" w:sz="4" w:space="0"/>
              <w:right w:val="single" w:color="auto" w:sz="4" w:space="0"/>
            </w:tcBorders>
            <w:noWrap w:val="0"/>
            <w:vAlign w:val="center"/>
          </w:tcPr>
          <w:p w14:paraId="4EA3FDFD">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序</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号</w:t>
            </w:r>
          </w:p>
        </w:tc>
        <w:tc>
          <w:tcPr>
            <w:tcW w:w="1289" w:type="dxa"/>
            <w:tcBorders>
              <w:top w:val="single" w:color="auto" w:sz="4" w:space="0"/>
              <w:left w:val="single" w:color="auto" w:sz="4" w:space="0"/>
              <w:bottom w:val="single" w:color="auto" w:sz="4" w:space="0"/>
              <w:right w:val="single" w:color="auto" w:sz="4" w:space="0"/>
            </w:tcBorders>
            <w:noWrap w:val="0"/>
            <w:vAlign w:val="center"/>
          </w:tcPr>
          <w:p w14:paraId="76394F2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部门</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职责</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1164AD7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名称</w:t>
            </w:r>
          </w:p>
        </w:tc>
        <w:tc>
          <w:tcPr>
            <w:tcW w:w="841" w:type="dxa"/>
            <w:tcBorders>
              <w:top w:val="single" w:color="auto" w:sz="4" w:space="0"/>
              <w:left w:val="single" w:color="auto" w:sz="4" w:space="0"/>
              <w:bottom w:val="single" w:color="auto" w:sz="4" w:space="0"/>
              <w:right w:val="single" w:color="auto" w:sz="4" w:space="0"/>
            </w:tcBorders>
            <w:noWrap w:val="0"/>
            <w:vAlign w:val="center"/>
          </w:tcPr>
          <w:p w14:paraId="42A908E1">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事项</w:t>
            </w:r>
          </w:p>
          <w:p w14:paraId="0ED80EE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编码</w:t>
            </w:r>
          </w:p>
        </w:tc>
        <w:tc>
          <w:tcPr>
            <w:tcW w:w="579" w:type="dxa"/>
            <w:tcBorders>
              <w:top w:val="single" w:color="auto" w:sz="4" w:space="0"/>
              <w:left w:val="single" w:color="auto" w:sz="4" w:space="0"/>
              <w:bottom w:val="single" w:color="auto" w:sz="4" w:space="0"/>
              <w:right w:val="single" w:color="auto" w:sz="4" w:space="0"/>
            </w:tcBorders>
            <w:noWrap w:val="0"/>
            <w:vAlign w:val="center"/>
          </w:tcPr>
          <w:p w14:paraId="7E413FEF">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类型</w:t>
            </w:r>
          </w:p>
        </w:tc>
        <w:tc>
          <w:tcPr>
            <w:tcW w:w="4054" w:type="dxa"/>
            <w:tcBorders>
              <w:top w:val="single" w:color="auto" w:sz="4" w:space="0"/>
              <w:left w:val="single" w:color="auto" w:sz="4" w:space="0"/>
              <w:bottom w:val="single" w:color="auto" w:sz="4" w:space="0"/>
              <w:right w:val="single" w:color="auto" w:sz="4" w:space="0"/>
            </w:tcBorders>
            <w:noWrap w:val="0"/>
            <w:vAlign w:val="center"/>
          </w:tcPr>
          <w:p w14:paraId="18B372AC">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设定、行使依据及有关条款</w:t>
            </w: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309C871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实施层级</w:t>
            </w:r>
          </w:p>
          <w:p w14:paraId="3C08ACAA">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及权限</w:t>
            </w:r>
          </w:p>
        </w:tc>
        <w:tc>
          <w:tcPr>
            <w:tcW w:w="3583" w:type="dxa"/>
            <w:tcBorders>
              <w:top w:val="single" w:color="auto" w:sz="4" w:space="0"/>
              <w:left w:val="single" w:color="auto" w:sz="4" w:space="0"/>
              <w:bottom w:val="single" w:color="auto" w:sz="4" w:space="0"/>
              <w:right w:val="single" w:color="auto" w:sz="4" w:space="0"/>
            </w:tcBorders>
            <w:noWrap w:val="0"/>
            <w:vAlign w:val="center"/>
          </w:tcPr>
          <w:p w14:paraId="6695EA6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对应责任事项</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112D85E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追责情形</w:t>
            </w:r>
          </w:p>
          <w:p w14:paraId="2E14748A">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及依据</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521F7C6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备注</w:t>
            </w:r>
          </w:p>
        </w:tc>
      </w:tr>
      <w:tr w14:paraId="4596E784">
        <w:tblPrEx>
          <w:tblCellMar>
            <w:top w:w="0" w:type="dxa"/>
            <w:left w:w="28" w:type="dxa"/>
            <w:bottom w:w="0" w:type="dxa"/>
            <w:right w:w="28" w:type="dxa"/>
          </w:tblCellMar>
        </w:tblPrEx>
        <w:trPr>
          <w:trHeight w:val="90" w:hRule="atLeast"/>
          <w:jc w:val="center"/>
        </w:trPr>
        <w:tc>
          <w:tcPr>
            <w:tcW w:w="377" w:type="dxa"/>
            <w:vMerge w:val="restart"/>
            <w:tcBorders>
              <w:top w:val="single" w:color="auto" w:sz="4" w:space="0"/>
              <w:left w:val="single" w:color="000000" w:sz="4" w:space="0"/>
              <w:bottom w:val="single" w:color="000000" w:sz="4" w:space="0"/>
              <w:right w:val="single" w:color="auto" w:sz="4" w:space="0"/>
            </w:tcBorders>
            <w:noWrap w:val="0"/>
            <w:vAlign w:val="center"/>
          </w:tcPr>
          <w:p w14:paraId="6674E0AB">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289" w:type="dxa"/>
            <w:vMerge w:val="restart"/>
            <w:tcBorders>
              <w:top w:val="single" w:color="auto" w:sz="4" w:space="0"/>
              <w:left w:val="single" w:color="auto" w:sz="4" w:space="0"/>
              <w:bottom w:val="single" w:color="auto" w:sz="4" w:space="0"/>
              <w:right w:val="single" w:color="auto" w:sz="4" w:space="0"/>
            </w:tcBorders>
            <w:noWrap w:val="0"/>
            <w:vAlign w:val="center"/>
          </w:tcPr>
          <w:p w14:paraId="38F797D2">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71" w:type="dxa"/>
            <w:vMerge w:val="restart"/>
            <w:tcBorders>
              <w:top w:val="single" w:color="auto" w:sz="4" w:space="0"/>
              <w:left w:val="single" w:color="auto" w:sz="4" w:space="0"/>
              <w:bottom w:val="single" w:color="auto" w:sz="4" w:space="0"/>
              <w:right w:val="single" w:color="auto" w:sz="4" w:space="0"/>
            </w:tcBorders>
            <w:noWrap w:val="0"/>
            <w:vAlign w:val="center"/>
          </w:tcPr>
          <w:p w14:paraId="1FEFD018">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对医疗保险经办机构以及医疗机构、药品经营单位等医疗保险服务机构以欺诈、伪造证明材料或者其他手段骗取医疗保障基金支出的处罚</w:t>
            </w:r>
          </w:p>
        </w:tc>
        <w:tc>
          <w:tcPr>
            <w:tcW w:w="841" w:type="dxa"/>
            <w:vMerge w:val="restart"/>
            <w:tcBorders>
              <w:top w:val="single" w:color="auto" w:sz="4" w:space="0"/>
              <w:left w:val="single" w:color="auto" w:sz="4" w:space="0"/>
              <w:bottom w:val="single" w:color="auto" w:sz="4" w:space="0"/>
              <w:right w:val="single" w:color="auto" w:sz="4" w:space="0"/>
            </w:tcBorders>
            <w:noWrap w:val="0"/>
            <w:vAlign w:val="center"/>
          </w:tcPr>
          <w:p w14:paraId="10C3E31F">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3700000</w:t>
            </w:r>
          </w:p>
          <w:p w14:paraId="62F79AA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236009 </w:t>
            </w:r>
          </w:p>
        </w:tc>
        <w:tc>
          <w:tcPr>
            <w:tcW w:w="579" w:type="dxa"/>
            <w:vMerge w:val="restart"/>
            <w:tcBorders>
              <w:top w:val="single" w:color="auto" w:sz="4" w:space="0"/>
              <w:left w:val="single" w:color="auto" w:sz="4" w:space="0"/>
              <w:bottom w:val="single" w:color="auto" w:sz="4" w:space="0"/>
              <w:right w:val="single" w:color="auto" w:sz="4" w:space="0"/>
            </w:tcBorders>
            <w:noWrap w:val="0"/>
            <w:vAlign w:val="center"/>
          </w:tcPr>
          <w:p w14:paraId="066512EF">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处罚</w:t>
            </w:r>
          </w:p>
        </w:tc>
        <w:tc>
          <w:tcPr>
            <w:tcW w:w="4054" w:type="dxa"/>
            <w:vMerge w:val="restart"/>
            <w:tcBorders>
              <w:top w:val="single" w:color="auto" w:sz="4" w:space="0"/>
              <w:left w:val="single" w:color="auto" w:sz="4" w:space="0"/>
              <w:bottom w:val="single" w:color="auto" w:sz="4" w:space="0"/>
              <w:right w:val="single" w:color="auto" w:sz="4" w:space="0"/>
            </w:tcBorders>
            <w:noWrap w:val="0"/>
            <w:vAlign w:val="center"/>
          </w:tcPr>
          <w:p w14:paraId="4FCE69A5">
            <w:pPr>
              <w:keepNext w:val="0"/>
              <w:keepLines w:val="0"/>
              <w:pageBreakBefore w:val="0"/>
              <w:widowControl/>
              <w:suppressLineNumbers w:val="0"/>
              <w:kinsoku/>
              <w:wordWrap/>
              <w:overflowPunct/>
              <w:topLinePunct w:val="0"/>
              <w:autoSpaceDE/>
              <w:autoSpaceDN/>
              <w:bidi w:val="0"/>
              <w:adjustRightInd/>
              <w:snapToGrid/>
              <w:spacing w:line="200" w:lineRule="exact"/>
              <w:ind w:left="21" w:leftChars="10" w:right="21" w:rightChars="1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16"/>
                <w:szCs w:val="16"/>
                <w:u w:val="none"/>
                <w:lang w:val="en-US" w:eastAsia="zh-CN" w:bidi="ar"/>
              </w:rPr>
              <w:t>1.【法律】《中华人民共和国社会保险法》（2018年12月修正）第八十七条：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法律】《中华人民共和国基本医疗卫生与健康促进法》（2019年12月通过）第一百零四条：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行政法规】《医疗保障基金使用监督管理条例》（2021年1月国务院令第735号）第三十七条：医疗保障经办机构通过伪造、变造、隐匿、涂改、销毁医学文书、医学证明、会计凭证、电子信息等有关资料或者虚构医药服务项目等方式，骗取医疗保障基金支出的，由医疗保障行政部门责令退回，处骗取金额2倍以上5倍以下的罚款，对直接负责的主管人员和其他直接责任人员依法给予处分。第四十条：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一）诱导、协助他人冒名或者虚假就医、购药，提供虚假证明材料，或者串通他人虚开费用单据；（二）伪造、变造、隐匿、涂改、销毁医学文书、医学证明、会计凭证、电子信息等有关资料；（三）虚构医药服务项目；（四）其他骗取医疗保障基金支出的行为。定点医药机构以骗取医疗保障基金为目的，实施了本条例第三十八条规定行为之一，造成医疗保障基金损失的，按照本条规定处理</w:t>
            </w:r>
            <w:r>
              <w:rPr>
                <w:rFonts w:hint="eastAsia" w:ascii="宋体" w:hAnsi="宋体" w:eastAsia="宋体" w:cs="宋体"/>
                <w:i w:val="0"/>
                <w:iCs w:val="0"/>
                <w:color w:val="auto"/>
                <w:kern w:val="0"/>
                <w:sz w:val="20"/>
                <w:szCs w:val="20"/>
                <w:u w:val="none"/>
                <w:lang w:val="en-US" w:eastAsia="zh-CN" w:bidi="ar"/>
              </w:rPr>
              <w:t>。</w:t>
            </w:r>
          </w:p>
        </w:tc>
        <w:tc>
          <w:tcPr>
            <w:tcW w:w="401" w:type="dxa"/>
            <w:tcBorders>
              <w:top w:val="single" w:color="auto" w:sz="4" w:space="0"/>
              <w:left w:val="single" w:color="auto" w:sz="4" w:space="0"/>
              <w:bottom w:val="single" w:color="000000" w:sz="4" w:space="0"/>
              <w:right w:val="single" w:color="auto" w:sz="4" w:space="0"/>
            </w:tcBorders>
            <w:noWrap w:val="0"/>
            <w:vAlign w:val="center"/>
          </w:tcPr>
          <w:p w14:paraId="453160A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auto" w:sz="4" w:space="0"/>
              <w:left w:val="single" w:color="auto" w:sz="4" w:space="0"/>
              <w:right w:val="single" w:color="auto" w:sz="4" w:space="0"/>
            </w:tcBorders>
            <w:noWrap w:val="0"/>
            <w:vAlign w:val="center"/>
          </w:tcPr>
          <w:p w14:paraId="038E8227">
            <w:pPr>
              <w:keepNext w:val="0"/>
              <w:keepLines w:val="0"/>
              <w:pageBreakBefore w:val="0"/>
              <w:widowControl/>
              <w:suppressLineNumbers w:val="0"/>
              <w:kinsoku/>
              <w:wordWrap/>
              <w:overflowPunct/>
              <w:topLinePunct w:val="0"/>
              <w:autoSpaceDE/>
              <w:autoSpaceDN/>
              <w:bidi w:val="0"/>
              <w:adjustRightInd/>
              <w:snapToGrid/>
              <w:spacing w:line="270" w:lineRule="exact"/>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按照属地监管原则，负责市级行政区域内违法行为的处罚</w:t>
            </w:r>
          </w:p>
        </w:tc>
        <w:tc>
          <w:tcPr>
            <w:tcW w:w="3583" w:type="dxa"/>
            <w:tcBorders>
              <w:top w:val="single" w:color="auto" w:sz="4" w:space="0"/>
              <w:left w:val="single" w:color="auto" w:sz="4" w:space="0"/>
              <w:right w:val="single" w:color="auto" w:sz="4" w:space="0"/>
            </w:tcBorders>
            <w:noWrap w:val="0"/>
            <w:vAlign w:val="center"/>
          </w:tcPr>
          <w:p w14:paraId="58ACAAB7">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3.加强对县区级医保行政部门在执法实践中适用自由裁量基准的指导和监督检查。</w:t>
            </w:r>
            <w:r>
              <w:rPr>
                <w:rStyle w:val="22"/>
                <w:color w:val="auto"/>
                <w:sz w:val="20"/>
                <w:szCs w:val="20"/>
                <w:lang w:val="en-US" w:eastAsia="zh-CN" w:bidi="ar"/>
              </w:rPr>
              <w:br w:type="textWrapping"/>
            </w:r>
            <w:r>
              <w:rPr>
                <w:rStyle w:val="22"/>
                <w:color w:val="auto"/>
                <w:sz w:val="20"/>
                <w:szCs w:val="20"/>
                <w:lang w:val="en-US" w:eastAsia="zh-CN" w:bidi="ar"/>
              </w:rPr>
              <w:t>4.对本系统行政处罚事项实施情况进行指导监督。</w:t>
            </w:r>
          </w:p>
        </w:tc>
        <w:tc>
          <w:tcPr>
            <w:tcW w:w="2090" w:type="dxa"/>
            <w:vMerge w:val="restart"/>
            <w:tcBorders>
              <w:top w:val="single" w:color="auto" w:sz="4" w:space="0"/>
              <w:left w:val="single" w:color="auto" w:sz="4" w:space="0"/>
              <w:bottom w:val="single" w:color="auto" w:sz="4" w:space="0"/>
              <w:right w:val="single" w:color="auto" w:sz="4" w:space="0"/>
            </w:tcBorders>
            <w:noWrap w:val="0"/>
            <w:vAlign w:val="center"/>
          </w:tcPr>
          <w:p w14:paraId="1B6797CA">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2760B4F9">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6BA51104">
        <w:tblPrEx>
          <w:tblCellMar>
            <w:top w:w="0" w:type="dxa"/>
            <w:left w:w="28" w:type="dxa"/>
            <w:bottom w:w="0" w:type="dxa"/>
            <w:right w:w="28" w:type="dxa"/>
          </w:tblCellMar>
        </w:tblPrEx>
        <w:trPr>
          <w:trHeight w:val="3770" w:hRule="atLeast"/>
          <w:jc w:val="center"/>
        </w:trPr>
        <w:tc>
          <w:tcPr>
            <w:tcW w:w="377" w:type="dxa"/>
            <w:vMerge w:val="continue"/>
            <w:tcBorders>
              <w:top w:val="single" w:color="000000" w:sz="4" w:space="0"/>
              <w:left w:val="single" w:color="000000" w:sz="4" w:space="0"/>
              <w:bottom w:val="single" w:color="000000" w:sz="4" w:space="0"/>
              <w:right w:val="single" w:color="auto" w:sz="4" w:space="0"/>
            </w:tcBorders>
            <w:noWrap w:val="0"/>
            <w:vAlign w:val="center"/>
          </w:tcPr>
          <w:p w14:paraId="2F3BF86A">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auto" w:sz="4" w:space="0"/>
              <w:bottom w:val="single" w:color="000000" w:sz="4" w:space="0"/>
              <w:right w:val="single" w:color="000000" w:sz="4" w:space="0"/>
            </w:tcBorders>
            <w:noWrap w:val="0"/>
            <w:vAlign w:val="center"/>
          </w:tcPr>
          <w:p w14:paraId="175D3DE7">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E0054">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1F7AA">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AE5B3E">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B7433">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37919AD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4E4FABA">
            <w:pPr>
              <w:keepNext w:val="0"/>
              <w:keepLines w:val="0"/>
              <w:pageBreakBefore w:val="0"/>
              <w:widowControl/>
              <w:suppressLineNumbers w:val="0"/>
              <w:kinsoku/>
              <w:wordWrap/>
              <w:overflowPunct/>
              <w:topLinePunct w:val="0"/>
              <w:autoSpaceDE/>
              <w:autoSpaceDN/>
              <w:bidi w:val="0"/>
              <w:adjustRightInd/>
              <w:snapToGrid/>
              <w:spacing w:line="270" w:lineRule="exact"/>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按照属地监管原则，负责县级行政区域内违法行为的处罚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1DDFBFC6">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left"/>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34EB39C6">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5D0CC2A9">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19B609A1">
        <w:tblPrEx>
          <w:tblCellMar>
            <w:top w:w="0" w:type="dxa"/>
            <w:left w:w="28" w:type="dxa"/>
            <w:bottom w:w="0" w:type="dxa"/>
            <w:right w:w="28" w:type="dxa"/>
          </w:tblCellMar>
        </w:tblPrEx>
        <w:trPr>
          <w:trHeight w:val="90"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5700D7C">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32B7191">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93B7422">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对以欺诈、伪造证明材料或者其他手段骗取医疗保险、生育保险待遇的处罚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5D0DDD56">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3700000236010 </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38A03B0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2F03BA09">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八十八条：以欺诈、伪造证明材料或者其他手段骗取社会保险待遇的，由社会保险行政部门责令退回骗取的社会保险金，处骗取金额二倍以上五倍以下的罚款。</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2.【法律】《</w:t>
            </w:r>
            <w:r>
              <w:rPr>
                <w:rFonts w:hint="eastAsia" w:ascii="宋体" w:hAnsi="宋体" w:eastAsia="宋体" w:cs="宋体"/>
                <w:i w:val="0"/>
                <w:iCs w:val="0"/>
                <w:color w:val="auto"/>
                <w:kern w:val="0"/>
                <w:sz w:val="20"/>
                <w:szCs w:val="20"/>
                <w:u w:val="none"/>
                <w:lang w:val="en-US" w:eastAsia="zh-CN" w:bidi="ar"/>
              </w:rPr>
              <w:t>中华人民共和国</w:t>
            </w:r>
            <w:r>
              <w:rPr>
                <w:rFonts w:hint="eastAsia" w:ascii="宋体" w:hAnsi="宋体" w:eastAsia="宋体" w:cs="宋体"/>
                <w:i w:val="0"/>
                <w:iCs w:val="0"/>
                <w:color w:val="auto"/>
                <w:spacing w:val="-6"/>
                <w:kern w:val="0"/>
                <w:sz w:val="20"/>
                <w:szCs w:val="20"/>
                <w:u w:val="none"/>
                <w:lang w:val="en-US" w:eastAsia="zh-CN" w:bidi="ar"/>
              </w:rPr>
              <w:t>基本医疗卫生与健康促进法》（2019年12月通过）第一百零四条：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一条：个人有下列情形之一的，由医疗保障行政部门责令改正；造成医疗保障基金损失的，责令退回；属于参保人员的，暂停其医疗费用联网结算3个月至12个月：（一）将本人的医疗保障凭证交由他人冒名使用；（二）重复享受医疗保障待遇；（三）利用享受医疗保障待遇的机会转卖药品，接受返还现金、实物或者获得其他非法利益。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额2倍以上5倍以下的罚款。</w:t>
            </w:r>
          </w:p>
        </w:tc>
        <w:tc>
          <w:tcPr>
            <w:tcW w:w="401" w:type="dxa"/>
            <w:tcBorders>
              <w:top w:val="single" w:color="000000" w:sz="4" w:space="0"/>
              <w:left w:val="single" w:color="000000" w:sz="4" w:space="0"/>
              <w:right w:val="single" w:color="000000" w:sz="4" w:space="0"/>
            </w:tcBorders>
            <w:noWrap w:val="0"/>
            <w:vAlign w:val="center"/>
          </w:tcPr>
          <w:p w14:paraId="049A3A51">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0FBB2DDA">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按照属地监管原则，负责市级行政区域内违法行为的处罚</w:t>
            </w:r>
          </w:p>
        </w:tc>
        <w:tc>
          <w:tcPr>
            <w:tcW w:w="3583" w:type="dxa"/>
            <w:tcBorders>
              <w:top w:val="single" w:color="000000" w:sz="4" w:space="0"/>
              <w:left w:val="single" w:color="000000" w:sz="4" w:space="0"/>
              <w:right w:val="single" w:color="000000" w:sz="4" w:space="0"/>
            </w:tcBorders>
            <w:noWrap w:val="0"/>
            <w:vAlign w:val="center"/>
          </w:tcPr>
          <w:p w14:paraId="776E379D">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3.加强对县区级医保行政部门在执法实践中适用自由裁量基准的指导和监督检查。</w:t>
            </w:r>
            <w:r>
              <w:rPr>
                <w:rStyle w:val="22"/>
                <w:color w:val="auto"/>
                <w:sz w:val="20"/>
                <w:szCs w:val="20"/>
                <w:lang w:val="en-US" w:eastAsia="zh-CN" w:bidi="ar"/>
              </w:rPr>
              <w:br w:type="textWrapping"/>
            </w:r>
            <w:r>
              <w:rPr>
                <w:rStyle w:val="22"/>
                <w:color w:val="auto"/>
                <w:sz w:val="20"/>
                <w:szCs w:val="20"/>
                <w:lang w:val="en-US" w:eastAsia="zh-CN" w:bidi="ar"/>
              </w:rPr>
              <w:t>4.对本系统行政处罚事项实施情况进行指导监督。</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63AD3E2C">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w:t>
            </w:r>
            <w:r>
              <w:rPr>
                <w:rFonts w:hint="eastAsia" w:ascii="宋体" w:hAnsi="宋体" w:eastAsia="宋体" w:cs="宋体"/>
                <w:i w:val="0"/>
                <w:iCs w:val="0"/>
                <w:color w:val="auto"/>
                <w:spacing w:val="-6"/>
                <w:kern w:val="0"/>
                <w:sz w:val="20"/>
                <w:szCs w:val="20"/>
                <w:u w:val="none"/>
                <w:lang w:val="en-US" w:eastAsia="zh-CN" w:bidi="ar"/>
              </w:rPr>
              <w:t>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00664B6E">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11CAF15D">
        <w:tblPrEx>
          <w:tblCellMar>
            <w:top w:w="0" w:type="dxa"/>
            <w:left w:w="28" w:type="dxa"/>
            <w:bottom w:w="0" w:type="dxa"/>
            <w:right w:w="28" w:type="dxa"/>
          </w:tblCellMar>
        </w:tblPrEx>
        <w:trPr>
          <w:trHeight w:val="4602"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8DD844">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62550">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0FE1F5">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164370">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03354">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19CD2E">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304C8AD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FAF76A9">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按照属地监管原则，负责县级行政区域内违法行为的处罚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13EAABD8">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412235A2">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3619ED15">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6D8C8617">
        <w:tblPrEx>
          <w:tblCellMar>
            <w:top w:w="0" w:type="dxa"/>
            <w:left w:w="28" w:type="dxa"/>
            <w:bottom w:w="0" w:type="dxa"/>
            <w:right w:w="28" w:type="dxa"/>
          </w:tblCellMar>
        </w:tblPrEx>
        <w:trPr>
          <w:trHeight w:val="4942"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299624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2F578E21">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741442A">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对隐匿、转移、侵占、挪用医疗保障基金或者违规投资运营的处罚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4832DAD0">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3700000236011 </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7E46EE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7EF4FD84">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一条：违反本法规定，隐匿、转移、侵占、挪用社会保险基金或者违规投资运营的，由社会保险行政部门、财政部门、审计机关责令追回；有违法所得的，没收违法所得；对直接负责的主管人员和其他直接责任人员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行政法规】《医疗保障基金使用监督管理条例》（2021年1月国务院令第735号）第四十四条：违反本条例规定，侵占、挪用医疗保障基金的，由医疗保障等行政部门责令追回；有违法所得的，没收违法所得；对直接负责的主管人员和其他直接责任人员依法给予处分。</w:t>
            </w:r>
          </w:p>
        </w:tc>
        <w:tc>
          <w:tcPr>
            <w:tcW w:w="401" w:type="dxa"/>
            <w:tcBorders>
              <w:top w:val="single" w:color="000000" w:sz="4" w:space="0"/>
              <w:left w:val="single" w:color="000000" w:sz="4" w:space="0"/>
              <w:right w:val="single" w:color="000000" w:sz="4" w:space="0"/>
            </w:tcBorders>
            <w:noWrap w:val="0"/>
            <w:vAlign w:val="center"/>
          </w:tcPr>
          <w:p w14:paraId="0ADC12C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4DAA75F8">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按照属地监管原则，负责市级行政区域内违法行为的处罚</w:t>
            </w:r>
          </w:p>
        </w:tc>
        <w:tc>
          <w:tcPr>
            <w:tcW w:w="3583" w:type="dxa"/>
            <w:tcBorders>
              <w:top w:val="single" w:color="000000" w:sz="4" w:space="0"/>
              <w:left w:val="single" w:color="000000" w:sz="4" w:space="0"/>
              <w:right w:val="single" w:color="000000" w:sz="4" w:space="0"/>
            </w:tcBorders>
            <w:noWrap w:val="0"/>
            <w:vAlign w:val="center"/>
          </w:tcPr>
          <w:p w14:paraId="21DCB349">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3.加强对县区级医保行政部门在执法实践中适用自由裁量基准的指导和监督检查。</w:t>
            </w:r>
            <w:r>
              <w:rPr>
                <w:rStyle w:val="22"/>
                <w:color w:val="auto"/>
                <w:sz w:val="20"/>
                <w:szCs w:val="20"/>
                <w:lang w:val="en-US" w:eastAsia="zh-CN" w:bidi="ar"/>
              </w:rPr>
              <w:br w:type="textWrapping"/>
            </w:r>
            <w:r>
              <w:rPr>
                <w:rStyle w:val="22"/>
                <w:color w:val="auto"/>
                <w:spacing w:val="-17"/>
                <w:sz w:val="20"/>
                <w:szCs w:val="20"/>
                <w:lang w:val="en-US" w:eastAsia="zh-CN" w:bidi="ar"/>
              </w:rPr>
              <w:t>4.对本系统行政处罚事项实施情况进行指导监督。</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6B2D20CE">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5BC4A7AD">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7DB92C1C">
        <w:tblPrEx>
          <w:tblCellMar>
            <w:top w:w="0" w:type="dxa"/>
            <w:left w:w="28" w:type="dxa"/>
            <w:bottom w:w="0" w:type="dxa"/>
            <w:right w:w="28" w:type="dxa"/>
          </w:tblCellMar>
        </w:tblPrEx>
        <w:trPr>
          <w:trHeight w:val="2980"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25E4D">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40404C">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287BFA">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36876">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6FFBEE">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F52E65">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583266AA">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C0736F6">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按照属地监管原则，负责县级行政区域内违法行为的处罚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4AF3074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4B23799E">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5ABAFA2E">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2700C99E">
        <w:tblPrEx>
          <w:tblCellMar>
            <w:top w:w="0" w:type="dxa"/>
            <w:left w:w="28" w:type="dxa"/>
            <w:bottom w:w="0" w:type="dxa"/>
            <w:right w:w="28" w:type="dxa"/>
          </w:tblCellMar>
        </w:tblPrEx>
        <w:trPr>
          <w:trHeight w:val="4693"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244BB0D1">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2F80477B">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0456DEA">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对用人单位不办理医疗保险和生育保险登记的处罚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7506DB63">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3700000236012 </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5D6B0D40">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0C912C0E">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八十四条：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tc>
        <w:tc>
          <w:tcPr>
            <w:tcW w:w="401" w:type="dxa"/>
            <w:tcBorders>
              <w:top w:val="single" w:color="000000" w:sz="4" w:space="0"/>
              <w:left w:val="single" w:color="000000" w:sz="4" w:space="0"/>
              <w:right w:val="single" w:color="000000" w:sz="4" w:space="0"/>
            </w:tcBorders>
            <w:noWrap w:val="0"/>
            <w:vAlign w:val="center"/>
          </w:tcPr>
          <w:p w14:paraId="4C41EFE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7D853EA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按照属地监管原则，负责市级行政区域内违法行为的处罚</w:t>
            </w:r>
          </w:p>
        </w:tc>
        <w:tc>
          <w:tcPr>
            <w:tcW w:w="3583" w:type="dxa"/>
            <w:tcBorders>
              <w:top w:val="single" w:color="000000" w:sz="4" w:space="0"/>
              <w:left w:val="single" w:color="000000" w:sz="4" w:space="0"/>
              <w:right w:val="single" w:color="000000" w:sz="4" w:space="0"/>
            </w:tcBorders>
            <w:noWrap w:val="0"/>
            <w:vAlign w:val="center"/>
          </w:tcPr>
          <w:p w14:paraId="79AF11CA">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3.加强对县区级医保行政部门在执法实践中适用自由裁量基准的指导和监督检查。</w:t>
            </w:r>
            <w:r>
              <w:rPr>
                <w:rStyle w:val="22"/>
                <w:color w:val="auto"/>
                <w:sz w:val="20"/>
                <w:szCs w:val="20"/>
                <w:lang w:val="en-US" w:eastAsia="zh-CN" w:bidi="ar"/>
              </w:rPr>
              <w:br w:type="textWrapping"/>
            </w:r>
            <w:r>
              <w:rPr>
                <w:rStyle w:val="22"/>
                <w:color w:val="auto"/>
                <w:spacing w:val="-17"/>
                <w:sz w:val="20"/>
                <w:szCs w:val="20"/>
                <w:lang w:val="en-US" w:eastAsia="zh-CN" w:bidi="ar"/>
              </w:rPr>
              <w:t>4.对本系统行政处罚事项实施情况进行指导监督。</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3ACC022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092B4237">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47DFCCFE">
        <w:tblPrEx>
          <w:tblCellMar>
            <w:top w:w="0" w:type="dxa"/>
            <w:left w:w="28" w:type="dxa"/>
            <w:bottom w:w="0" w:type="dxa"/>
            <w:right w:w="28" w:type="dxa"/>
          </w:tblCellMar>
        </w:tblPrEx>
        <w:trPr>
          <w:trHeight w:val="3409"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9E25E">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419D6">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748D6">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84557">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29B7D">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114FA6">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447B9AFE">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E7EF5E3">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按照属地监管原则，负责县级行政区域内违法行为的处罚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53DCC652">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72038410">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35FFD1AE">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408A6011">
        <w:tblPrEx>
          <w:tblCellMar>
            <w:top w:w="0" w:type="dxa"/>
            <w:left w:w="28" w:type="dxa"/>
            <w:bottom w:w="0" w:type="dxa"/>
            <w:right w:w="28" w:type="dxa"/>
          </w:tblCellMar>
        </w:tblPrEx>
        <w:trPr>
          <w:trHeight w:val="4051"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B9DD33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248E6E40">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拟订全省药品、医用耗材的集中采购、配送以及结算管理政策并监督实施，指导集中采购平台建设，依法查处医疗保障领域违法违规行为。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285E5A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对参加药品采购投标的投标人违法行为的处罚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03B587F1">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3700000236017</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46E91EA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52892658">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基本医疗卫生与健康促进法》（2019年12月通过）第一百零三条：违反本法规定，参加药品采购投标的投标人以低于成本的报价竞价，或者以欺诈、串通投标、滥用市场支配地位等方式竞标的，由县级以上人民政府医疗保障主管部门责令改正，没收违法所得；中标的，中标无效，处中标项目金额千分之五以上千分之十以下的罚款，对法定代表人、主要负责人、直接负责的主管人员和其他责任人员处对单位罚款数额百分之五以上百分之十以下的罚款；情节严重的，取消其二年至五年内参加药品采购投标的资格并予以公告。</w:t>
            </w:r>
          </w:p>
        </w:tc>
        <w:tc>
          <w:tcPr>
            <w:tcW w:w="401" w:type="dxa"/>
            <w:tcBorders>
              <w:top w:val="single" w:color="000000" w:sz="4" w:space="0"/>
              <w:left w:val="single" w:color="000000" w:sz="4" w:space="0"/>
              <w:right w:val="single" w:color="000000" w:sz="4" w:space="0"/>
            </w:tcBorders>
            <w:noWrap w:val="0"/>
            <w:vAlign w:val="center"/>
          </w:tcPr>
          <w:p w14:paraId="7A9FF76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272DBEB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按照属地监管原则，负责市级行政区域内违法行为的处罚</w:t>
            </w:r>
          </w:p>
        </w:tc>
        <w:tc>
          <w:tcPr>
            <w:tcW w:w="3583" w:type="dxa"/>
            <w:tcBorders>
              <w:top w:val="single" w:color="000000" w:sz="4" w:space="0"/>
              <w:left w:val="single" w:color="000000" w:sz="4" w:space="0"/>
              <w:right w:val="single" w:color="000000" w:sz="4" w:space="0"/>
            </w:tcBorders>
            <w:noWrap w:val="0"/>
            <w:vAlign w:val="center"/>
          </w:tcPr>
          <w:p w14:paraId="74D63D82">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3.加强对县区级医保行政部门在执法实践中适用自由裁量基准的指导和监督检查。</w:t>
            </w:r>
            <w:r>
              <w:rPr>
                <w:rStyle w:val="22"/>
                <w:color w:val="auto"/>
                <w:sz w:val="20"/>
                <w:szCs w:val="20"/>
                <w:lang w:val="en-US" w:eastAsia="zh-CN" w:bidi="ar"/>
              </w:rPr>
              <w:br w:type="textWrapping"/>
            </w:r>
            <w:r>
              <w:rPr>
                <w:rStyle w:val="22"/>
                <w:color w:val="auto"/>
                <w:spacing w:val="-17"/>
                <w:sz w:val="20"/>
                <w:szCs w:val="20"/>
                <w:lang w:val="en-US" w:eastAsia="zh-CN" w:bidi="ar"/>
              </w:rPr>
              <w:t>4.对本系统行政处罚事项实施情况进行指导监督。</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3ED4A7E4">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基本医疗卫生与健康促进法》（2019年12月通过）第九十八条：违反本法规定，地方各级人民政府、县级以上人民政府卫生健康主管部门和其他有关部门，滥用职权、玩忽职守、徇私舞弊的，对直接负责的主管人员和其他直接责任人员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7706D66F">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07E394C5">
        <w:tblPrEx>
          <w:tblCellMar>
            <w:top w:w="0" w:type="dxa"/>
            <w:left w:w="28" w:type="dxa"/>
            <w:bottom w:w="0" w:type="dxa"/>
            <w:right w:w="28" w:type="dxa"/>
          </w:tblCellMar>
        </w:tblPrEx>
        <w:trPr>
          <w:trHeight w:val="3629"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1008B3">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859DB">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7527CB">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0291D">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F8ECB3">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05EDC4">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1A11048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9CE56C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按照属地监管原则，负责县级行政区域内违法行为的处罚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755EBE22">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5BE6C013">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1A48767D">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74A93895">
        <w:tblPrEx>
          <w:tblCellMar>
            <w:top w:w="0" w:type="dxa"/>
            <w:left w:w="28" w:type="dxa"/>
            <w:bottom w:w="0" w:type="dxa"/>
            <w:right w:w="28" w:type="dxa"/>
          </w:tblCellMar>
        </w:tblPrEx>
        <w:trPr>
          <w:trHeight w:val="4158"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43037E8">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1093199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组织医疗救助，承办中央和省财政相关补助资金的分配和监管工作，负责监督检查各地医疗救助政策和救助资金的落实，依法查处医疗保障领域违法违规行为。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FBA25A1">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对采取虚报、隐瞒、伪造等手段，骗取医疗救助基金的处罚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07743E0E">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3700000236018 </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5915F7C1">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49BAFF0C">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行政法规】《社会救助暂行办法》（2014年5月国务院令第649号，根据2019年3月国务院令第709号修订）第六十八条：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省政府规章】《山东省社会救助办法》（2014年9月山东省人民政府令第279号，根据2021年2月山东省人民政府令第340号修订）第八十七条：采取虚报、隐瞒、伪造等手段，骗取社会救助资金、物资或者服务的，依照国务院《社会救助暂行办法》的规定处理。</w:t>
            </w:r>
          </w:p>
        </w:tc>
        <w:tc>
          <w:tcPr>
            <w:tcW w:w="401" w:type="dxa"/>
            <w:tcBorders>
              <w:top w:val="single" w:color="000000" w:sz="4" w:space="0"/>
              <w:left w:val="single" w:color="000000" w:sz="4" w:space="0"/>
              <w:right w:val="single" w:color="000000" w:sz="4" w:space="0"/>
            </w:tcBorders>
            <w:noWrap w:val="0"/>
            <w:vAlign w:val="center"/>
          </w:tcPr>
          <w:p w14:paraId="35FE07B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3F648089">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无</w:t>
            </w:r>
          </w:p>
        </w:tc>
        <w:tc>
          <w:tcPr>
            <w:tcW w:w="3583" w:type="dxa"/>
            <w:tcBorders>
              <w:top w:val="single" w:color="000000" w:sz="4" w:space="0"/>
              <w:left w:val="single" w:color="000000" w:sz="4" w:space="0"/>
              <w:right w:val="single" w:color="000000" w:sz="4" w:space="0"/>
            </w:tcBorders>
            <w:noWrap w:val="0"/>
            <w:vAlign w:val="center"/>
          </w:tcPr>
          <w:p w14:paraId="1EA53419">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无</w:t>
            </w:r>
            <w:r>
              <w:rPr>
                <w:rStyle w:val="23"/>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1.加强对县区级医保行政部门在执法实践中适用自由裁量基准的指导和监督检查。</w:t>
            </w:r>
            <w:r>
              <w:rPr>
                <w:rStyle w:val="22"/>
                <w:color w:val="auto"/>
                <w:sz w:val="20"/>
                <w:szCs w:val="20"/>
                <w:lang w:val="en-US" w:eastAsia="zh-CN" w:bidi="ar"/>
              </w:rPr>
              <w:br w:type="textWrapping"/>
            </w:r>
            <w:r>
              <w:rPr>
                <w:rStyle w:val="22"/>
                <w:color w:val="auto"/>
                <w:sz w:val="20"/>
                <w:szCs w:val="20"/>
                <w:lang w:val="en-US" w:eastAsia="zh-CN" w:bidi="ar"/>
              </w:rPr>
              <w:t>2</w:t>
            </w:r>
            <w:r>
              <w:rPr>
                <w:rStyle w:val="22"/>
                <w:color w:val="auto"/>
                <w:spacing w:val="0"/>
                <w:sz w:val="20"/>
                <w:szCs w:val="20"/>
                <w:lang w:val="en-US" w:eastAsia="zh-CN" w:bidi="ar"/>
              </w:rPr>
              <w:t>.对本系统行政处罚事项实施情况进行指导监督</w:t>
            </w:r>
            <w:r>
              <w:rPr>
                <w:rStyle w:val="22"/>
                <w:color w:val="auto"/>
                <w:spacing w:val="-6"/>
                <w:sz w:val="20"/>
                <w:szCs w:val="20"/>
                <w:lang w:val="en-US" w:eastAsia="zh-CN" w:bidi="ar"/>
              </w:rPr>
              <w:t>。</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512F6CC4">
            <w:pPr>
              <w:keepNext w:val="0"/>
              <w:keepLines w:val="0"/>
              <w:pageBreakBefore w:val="0"/>
              <w:widowControl/>
              <w:suppressLineNumbers w:val="0"/>
              <w:kinsoku/>
              <w:wordWrap/>
              <w:overflowPunct/>
              <w:topLinePunct w:val="0"/>
              <w:autoSpaceDE/>
              <w:autoSpaceDN/>
              <w:bidi w:val="0"/>
              <w:adjustRightInd/>
              <w:snapToGrid/>
              <w:spacing w:line="230" w:lineRule="exact"/>
              <w:ind w:left="42" w:leftChars="20" w:right="42" w:rightChars="2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0"/>
                <w:szCs w:val="20"/>
                <w:u w:val="none"/>
                <w:lang w:val="en-US" w:eastAsia="zh-CN" w:bidi="ar"/>
              </w:rPr>
              <w:t>1.【</w:t>
            </w:r>
            <w:r>
              <w:rPr>
                <w:rFonts w:hint="eastAsia" w:ascii="宋体" w:hAnsi="宋体" w:eastAsia="宋体" w:cs="宋体"/>
                <w:i w:val="0"/>
                <w:iCs w:val="0"/>
                <w:color w:val="auto"/>
                <w:spacing w:val="-6"/>
                <w:kern w:val="0"/>
                <w:sz w:val="20"/>
                <w:szCs w:val="20"/>
                <w:u w:val="none"/>
                <w:lang w:val="en-US" w:eastAsia="zh-CN" w:bidi="ar"/>
              </w:rPr>
              <w:t>法律】《</w:t>
            </w:r>
            <w:r>
              <w:rPr>
                <w:rFonts w:hint="eastAsia" w:ascii="宋体" w:hAnsi="宋体" w:eastAsia="宋体" w:cs="宋体"/>
                <w:i w:val="0"/>
                <w:iCs w:val="0"/>
                <w:color w:val="auto"/>
                <w:kern w:val="0"/>
                <w:sz w:val="20"/>
                <w:szCs w:val="20"/>
                <w:u w:val="none"/>
                <w:lang w:val="en-US" w:eastAsia="zh-CN" w:bidi="ar"/>
              </w:rPr>
              <w:t>中华人民共和国</w:t>
            </w:r>
            <w:r>
              <w:rPr>
                <w:rFonts w:hint="eastAsia" w:ascii="宋体" w:hAnsi="宋体" w:eastAsia="宋体" w:cs="宋体"/>
                <w:i w:val="0"/>
                <w:iCs w:val="0"/>
                <w:color w:val="auto"/>
                <w:spacing w:val="-6"/>
                <w:kern w:val="0"/>
                <w:sz w:val="20"/>
                <w:szCs w:val="20"/>
                <w:u w:val="none"/>
                <w:lang w:val="en-US" w:eastAsia="zh-CN" w:bidi="ar"/>
              </w:rPr>
              <w:t>监察法》（2018年3月通过）规定的追责情形。</w:t>
            </w:r>
            <w:r>
              <w:rPr>
                <w:rFonts w:hint="eastAsia" w:ascii="宋体" w:hAnsi="宋体" w:eastAsia="宋体" w:cs="宋体"/>
                <w:i w:val="0"/>
                <w:iCs w:val="0"/>
                <w:color w:val="auto"/>
                <w:spacing w:val="-6"/>
                <w:kern w:val="0"/>
                <w:sz w:val="20"/>
                <w:szCs w:val="20"/>
                <w:u w:val="none"/>
                <w:lang w:val="en-US" w:eastAsia="zh-CN" w:bidi="ar"/>
              </w:rPr>
              <w:br w:type="textWrapping"/>
            </w:r>
            <w:r>
              <w:rPr>
                <w:rFonts w:hint="eastAsia" w:ascii="宋体" w:hAnsi="宋体" w:eastAsia="宋体" w:cs="宋体"/>
                <w:i w:val="0"/>
                <w:iCs w:val="0"/>
                <w:color w:val="auto"/>
                <w:spacing w:val="-6"/>
                <w:kern w:val="0"/>
                <w:sz w:val="20"/>
                <w:szCs w:val="20"/>
                <w:u w:val="none"/>
                <w:lang w:val="en-US" w:eastAsia="zh-CN" w:bidi="ar"/>
              </w:rPr>
              <w:t>2.【行政法规】《社会救助暂行办法》（2014年5月国务院令第649号，根据2019年3月国务院令第709号修订）第六十六条：违反本办法规定，有下列情形之一的，由上级行政机关或者监察机关责令改正；对直接负责的主管人员和其他直接责任人员依法给予处分：（一）对符合申请条件的救助申请不予受理的；（二）对符合救助条件的救助申请不予批准的；（三）对不符合救助条件的救助申请予以批准的；（四）泄露在工作中知悉的公民个人信息，造成后果的；（五）丢失、篡改接受社会救助款物、服务记录等数据的；（六）不按照规定发放社会救助资金、物资或者提供相关服务的；（七）在履行社会救助职责过程中有其他滥用职权、玩忽职守、徇私舞弊行为的。</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7FA73354">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6BB9BA22">
        <w:tblPrEx>
          <w:tblCellMar>
            <w:top w:w="0" w:type="dxa"/>
            <w:left w:w="28" w:type="dxa"/>
            <w:bottom w:w="0" w:type="dxa"/>
            <w:right w:w="28" w:type="dxa"/>
          </w:tblCellMar>
        </w:tblPrEx>
        <w:trPr>
          <w:trHeight w:val="1508"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D90A3">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75ED4">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E5058">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C2EFD">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EB6079">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93C4D">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6556BF45">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2CC729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负责对本行政区域内违法行为的处罚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37CECF79">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63FCCF86">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5DF185D7">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0CFEEB51">
        <w:tblPrEx>
          <w:tblCellMar>
            <w:top w:w="0" w:type="dxa"/>
            <w:left w:w="28" w:type="dxa"/>
            <w:bottom w:w="0" w:type="dxa"/>
            <w:right w:w="28" w:type="dxa"/>
          </w:tblCellMar>
        </w:tblPrEx>
        <w:trPr>
          <w:trHeight w:val="4164"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299187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5AF7A4D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9EEE9A2">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对定点医药机构分解住院、挂床住院等医保基金使用一般违法行为的处罚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78412FFE">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3700000236019 </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428806D6">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100F07A2">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行政法规】《医疗保障基金使用监督管理条例》（2021年1月国务院令第735号）第三十八条：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一）分解住院、挂床住院；（二）违反诊疗规范过度诊疗、过度检查、分解处方、超量开药、重复开药或者提供其他不必要的医药服务；（三）重复收费、超标准收费、分解项目收费；（四）串换药品、医用耗材、诊疗项目和服务设施；（五）为参保人员利用其享受医疗保障待遇的机会转卖药品，接受返还现金、实物或者获得其他非法利益提供便利；（六）将不属于医疗保障基金支付范围的医药费用纳入医疗保障基金结算；（七）造成医疗保障基金损失的其他违法行为。</w:t>
            </w:r>
          </w:p>
        </w:tc>
        <w:tc>
          <w:tcPr>
            <w:tcW w:w="401" w:type="dxa"/>
            <w:tcBorders>
              <w:top w:val="single" w:color="000000" w:sz="4" w:space="0"/>
              <w:left w:val="single" w:color="000000" w:sz="4" w:space="0"/>
              <w:right w:val="single" w:color="000000" w:sz="4" w:space="0"/>
            </w:tcBorders>
            <w:noWrap w:val="0"/>
            <w:vAlign w:val="center"/>
          </w:tcPr>
          <w:p w14:paraId="4D9C201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63540293">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pacing w:val="-6"/>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按照属地监管原则，负责市级行政区域内违法行为的处罚</w:t>
            </w:r>
          </w:p>
        </w:tc>
        <w:tc>
          <w:tcPr>
            <w:tcW w:w="3583" w:type="dxa"/>
            <w:tcBorders>
              <w:top w:val="single" w:color="000000" w:sz="4" w:space="0"/>
              <w:left w:val="single" w:color="000000" w:sz="4" w:space="0"/>
              <w:right w:val="single" w:color="000000" w:sz="4" w:space="0"/>
            </w:tcBorders>
            <w:noWrap w:val="0"/>
            <w:vAlign w:val="center"/>
          </w:tcPr>
          <w:p w14:paraId="35185681">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3.加强对县区级医保行政部门在执法实践中适用自由裁量基准的指导和监督检查。</w:t>
            </w:r>
            <w:r>
              <w:rPr>
                <w:rStyle w:val="22"/>
                <w:color w:val="auto"/>
                <w:sz w:val="20"/>
                <w:szCs w:val="20"/>
                <w:lang w:val="en-US" w:eastAsia="zh-CN" w:bidi="ar"/>
              </w:rPr>
              <w:br w:type="textWrapping"/>
            </w:r>
            <w:r>
              <w:rPr>
                <w:rStyle w:val="22"/>
                <w:color w:val="auto"/>
                <w:spacing w:val="-17"/>
                <w:sz w:val="20"/>
                <w:szCs w:val="20"/>
                <w:lang w:val="en-US" w:eastAsia="zh-CN" w:bidi="ar"/>
              </w:rPr>
              <w:t>4.对本系统行政处罚事项实施情况进行指导监督。</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33C59A28">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51893309">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4E276EC1">
        <w:tblPrEx>
          <w:tblCellMar>
            <w:top w:w="0" w:type="dxa"/>
            <w:left w:w="28" w:type="dxa"/>
            <w:bottom w:w="0" w:type="dxa"/>
            <w:right w:w="28" w:type="dxa"/>
          </w:tblCellMar>
        </w:tblPrEx>
        <w:trPr>
          <w:trHeight w:val="3799"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F84CE">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28AD69">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275C7">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691A85">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44491">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406E79">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398FD5F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A7A57E">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按照属地监管</w:t>
            </w:r>
          </w:p>
          <w:p w14:paraId="3BC9880B">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原则，负责县级行政</w:t>
            </w:r>
          </w:p>
          <w:p w14:paraId="5E065C49">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pacing w:val="-6"/>
                <w:kern w:val="0"/>
                <w:sz w:val="20"/>
                <w:szCs w:val="20"/>
                <w:u w:val="none"/>
                <w:lang w:val="en-US" w:eastAsia="zh-CN" w:bidi="ar"/>
              </w:rPr>
            </w:pPr>
            <w:r>
              <w:rPr>
                <w:rFonts w:hint="eastAsia" w:ascii="宋体" w:hAnsi="宋体" w:eastAsia="宋体" w:cs="宋体"/>
                <w:i w:val="0"/>
                <w:iCs w:val="0"/>
                <w:color w:val="auto"/>
                <w:spacing w:val="-6"/>
                <w:kern w:val="0"/>
                <w:sz w:val="20"/>
                <w:szCs w:val="20"/>
                <w:u w:val="none"/>
                <w:lang w:val="en-US" w:eastAsia="zh-CN" w:bidi="ar"/>
              </w:rPr>
              <w:t>区域内违法行</w:t>
            </w:r>
          </w:p>
          <w:p w14:paraId="0211480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pacing w:val="-6"/>
                <w:sz w:val="20"/>
                <w:szCs w:val="20"/>
                <w:u w:val="none"/>
              </w:rPr>
            </w:pPr>
            <w:r>
              <w:rPr>
                <w:rFonts w:hint="eastAsia" w:ascii="宋体" w:hAnsi="宋体" w:eastAsia="宋体" w:cs="宋体"/>
                <w:i w:val="0"/>
                <w:iCs w:val="0"/>
                <w:color w:val="auto"/>
                <w:spacing w:val="-6"/>
                <w:kern w:val="0"/>
                <w:sz w:val="20"/>
                <w:szCs w:val="20"/>
                <w:u w:val="none"/>
                <w:lang w:val="en-US" w:eastAsia="zh-CN" w:bidi="ar"/>
              </w:rPr>
              <w:t>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5D20A773">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2F489E21">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auto" w:sz="4" w:space="0"/>
              <w:right w:val="single" w:color="auto" w:sz="4" w:space="0"/>
            </w:tcBorders>
            <w:noWrap w:val="0"/>
            <w:vAlign w:val="center"/>
          </w:tcPr>
          <w:p w14:paraId="3C619852">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6484310C">
        <w:tblPrEx>
          <w:tblCellMar>
            <w:top w:w="0" w:type="dxa"/>
            <w:left w:w="28" w:type="dxa"/>
            <w:bottom w:w="0" w:type="dxa"/>
            <w:right w:w="28" w:type="dxa"/>
          </w:tblCellMar>
        </w:tblPrEx>
        <w:trPr>
          <w:trHeight w:val="4532" w:hRule="atLeast"/>
          <w:jc w:val="center"/>
        </w:trPr>
        <w:tc>
          <w:tcPr>
            <w:tcW w:w="3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A46E47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289" w:type="dxa"/>
            <w:vMerge w:val="restart"/>
            <w:tcBorders>
              <w:top w:val="single" w:color="000000" w:sz="4" w:space="0"/>
              <w:left w:val="single" w:color="000000" w:sz="4" w:space="0"/>
              <w:bottom w:val="single" w:color="000000" w:sz="4" w:space="0"/>
              <w:right w:val="single" w:color="000000" w:sz="4" w:space="0"/>
            </w:tcBorders>
            <w:noWrap w:val="0"/>
            <w:vAlign w:val="center"/>
          </w:tcPr>
          <w:p w14:paraId="7D117FE9">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w:t>
            </w:r>
            <w:r>
              <w:rPr>
                <w:rFonts w:hint="eastAsia" w:ascii="宋体" w:hAnsi="宋体" w:eastAsia="宋体" w:cs="宋体"/>
                <w:i w:val="0"/>
                <w:iCs w:val="0"/>
                <w:color w:val="auto"/>
                <w:spacing w:val="-6"/>
                <w:kern w:val="0"/>
                <w:sz w:val="20"/>
                <w:szCs w:val="20"/>
                <w:u w:val="none"/>
                <w:lang w:val="en-US" w:eastAsia="zh-CN" w:bidi="ar"/>
              </w:rPr>
              <w:t>信息披露制度。</w:t>
            </w:r>
            <w:r>
              <w:rPr>
                <w:rFonts w:hint="eastAsia" w:ascii="宋体" w:hAnsi="宋体" w:eastAsia="宋体" w:cs="宋体"/>
                <w:i w:val="0"/>
                <w:iCs w:val="0"/>
                <w:color w:val="auto"/>
                <w:kern w:val="0"/>
                <w:sz w:val="20"/>
                <w:szCs w:val="20"/>
                <w:u w:val="none"/>
                <w:lang w:val="en-US" w:eastAsia="zh-CN" w:bidi="ar"/>
              </w:rPr>
              <w:t>监督管理纳入医保支付范围的医疗服务行为和医疗费用，规范医保经办业务，依法查处医疗保障领域违法违规行为。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1A2B99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对定点医药机构违反内部管理规定以及未按规定向医疗保障部门传送数据、信息或者不配合监督检查等行为的处罚</w:t>
            </w:r>
          </w:p>
        </w:tc>
        <w:tc>
          <w:tcPr>
            <w:tcW w:w="841" w:type="dxa"/>
            <w:vMerge w:val="restart"/>
            <w:tcBorders>
              <w:top w:val="single" w:color="000000" w:sz="4" w:space="0"/>
              <w:left w:val="single" w:color="000000" w:sz="4" w:space="0"/>
              <w:bottom w:val="single" w:color="000000" w:sz="4" w:space="0"/>
              <w:right w:val="single" w:color="000000" w:sz="4" w:space="0"/>
            </w:tcBorders>
            <w:noWrap w:val="0"/>
            <w:vAlign w:val="center"/>
          </w:tcPr>
          <w:p w14:paraId="533FE94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3700000236020 </w:t>
            </w:r>
          </w:p>
        </w:tc>
        <w:tc>
          <w:tcPr>
            <w:tcW w:w="579" w:type="dxa"/>
            <w:vMerge w:val="restart"/>
            <w:tcBorders>
              <w:top w:val="single" w:color="000000" w:sz="4" w:space="0"/>
              <w:left w:val="single" w:color="000000" w:sz="4" w:space="0"/>
              <w:bottom w:val="single" w:color="000000" w:sz="4" w:space="0"/>
              <w:right w:val="single" w:color="000000" w:sz="4" w:space="0"/>
            </w:tcBorders>
            <w:noWrap w:val="0"/>
            <w:vAlign w:val="center"/>
          </w:tcPr>
          <w:p w14:paraId="35205718">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行政处罚</w:t>
            </w:r>
          </w:p>
        </w:tc>
        <w:tc>
          <w:tcPr>
            <w:tcW w:w="4054" w:type="dxa"/>
            <w:vMerge w:val="restart"/>
            <w:tcBorders>
              <w:top w:val="single" w:color="000000" w:sz="4" w:space="0"/>
              <w:left w:val="single" w:color="000000" w:sz="4" w:space="0"/>
              <w:bottom w:val="single" w:color="000000" w:sz="4" w:space="0"/>
              <w:right w:val="single" w:color="000000" w:sz="4" w:space="0"/>
            </w:tcBorders>
            <w:noWrap w:val="0"/>
            <w:vAlign w:val="center"/>
          </w:tcPr>
          <w:p w14:paraId="4CA1D403">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行政法规】《医疗保障基金使用监督管理条例》（2021年1月国务院令第735号）第三十九条：定点医药机构有下列情形之一的，由医疗保障行政部门责令改正，并可以约谈有关负责人；拒不改正的，处1万元以上5万元以下的罚款；违反其他法律、行政法规的，由有关主管部门依法处理：（一）未建立医疗保障基金使用内部管理制度，或者没有专门机构或者人员负责医疗保障基金使用管理工作；（二）未按照规定保管财务账目、会计凭证、处方、病历、治疗检查记录、费用明细、药品和医用耗材出入库记录等资料；（三）未按照规定通过医疗保障信息系统传送医疗保障基金使用有关数据；（四）未按照规定向医疗保障行政部门报告医疗保障基金使用监督管理所需信息；（五）未按照规定向社会公开医药费用、费用结构等信息；（六）除急诊、抢救等特殊情形外，未经参保人员或者其近亲属、监护人同意提供医疗保障基金支付范围以外的医药服务；（七）拒绝医疗保障等行政部门监督检查或者提供虚假情况。</w:t>
            </w:r>
          </w:p>
        </w:tc>
        <w:tc>
          <w:tcPr>
            <w:tcW w:w="401" w:type="dxa"/>
            <w:tcBorders>
              <w:top w:val="single" w:color="000000" w:sz="4" w:space="0"/>
              <w:left w:val="single" w:color="000000" w:sz="4" w:space="0"/>
              <w:right w:val="single" w:color="000000" w:sz="4" w:space="0"/>
            </w:tcBorders>
            <w:noWrap w:val="0"/>
            <w:vAlign w:val="center"/>
          </w:tcPr>
          <w:p w14:paraId="51B822EC">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718" w:type="dxa"/>
            <w:tcBorders>
              <w:top w:val="single" w:color="000000" w:sz="4" w:space="0"/>
              <w:left w:val="single" w:color="000000" w:sz="4" w:space="0"/>
              <w:right w:val="single" w:color="000000" w:sz="4" w:space="0"/>
            </w:tcBorders>
            <w:noWrap w:val="0"/>
            <w:vAlign w:val="center"/>
          </w:tcPr>
          <w:p w14:paraId="1608DF4E">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按照属地监管原则，负责市级行政区域内违法行为的处罚</w:t>
            </w:r>
          </w:p>
        </w:tc>
        <w:tc>
          <w:tcPr>
            <w:tcW w:w="3583" w:type="dxa"/>
            <w:tcBorders>
              <w:top w:val="single" w:color="000000" w:sz="4" w:space="0"/>
              <w:left w:val="single" w:color="000000" w:sz="4" w:space="0"/>
              <w:right w:val="single" w:color="000000" w:sz="4" w:space="0"/>
            </w:tcBorders>
            <w:noWrap w:val="0"/>
            <w:vAlign w:val="center"/>
          </w:tcPr>
          <w:p w14:paraId="337FCD8F">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Style w:val="22"/>
                <w:color w:val="auto"/>
                <w:sz w:val="20"/>
                <w:szCs w:val="20"/>
                <w:lang w:val="en-US" w:eastAsia="zh-CN" w:bidi="ar"/>
              </w:rPr>
              <w:br w:type="textWrapping"/>
            </w:r>
            <w:r>
              <w:rPr>
                <w:rStyle w:val="22"/>
                <w:color w:val="auto"/>
                <w:sz w:val="20"/>
                <w:szCs w:val="20"/>
                <w:lang w:val="en-US" w:eastAsia="zh-CN" w:bidi="ar"/>
              </w:rPr>
              <w:t>1.执行省级医保行政部门制定的行政处罚标准规范等配套制度，建立健全对行政处罚的监督制度，也可结合本地实际细化量化行政处罚裁量基准具体标准。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r>
              <w:rPr>
                <w:rStyle w:val="22"/>
                <w:color w:val="auto"/>
                <w:sz w:val="20"/>
                <w:szCs w:val="20"/>
                <w:lang w:val="en-US" w:eastAsia="zh-CN" w:bidi="ar"/>
              </w:rPr>
              <w:br w:type="textWrapping"/>
            </w:r>
            <w:r>
              <w:rPr>
                <w:rStyle w:val="23"/>
                <w:color w:val="auto"/>
                <w:sz w:val="20"/>
                <w:szCs w:val="20"/>
                <w:lang w:val="en-US" w:eastAsia="zh-CN" w:bidi="ar"/>
              </w:rPr>
              <w:t>指导监督责任：</w:t>
            </w:r>
            <w:r>
              <w:rPr>
                <w:rStyle w:val="22"/>
                <w:color w:val="auto"/>
                <w:sz w:val="20"/>
                <w:szCs w:val="20"/>
                <w:lang w:val="en-US" w:eastAsia="zh-CN" w:bidi="ar"/>
              </w:rPr>
              <w:br w:type="textWrapping"/>
            </w:r>
            <w:r>
              <w:rPr>
                <w:rStyle w:val="22"/>
                <w:color w:val="auto"/>
                <w:sz w:val="20"/>
                <w:szCs w:val="20"/>
                <w:lang w:val="en-US" w:eastAsia="zh-CN" w:bidi="ar"/>
              </w:rPr>
              <w:t>3.加强对县区级医保行政部门在执法实践中适用自</w:t>
            </w:r>
            <w:r>
              <w:rPr>
                <w:rStyle w:val="22"/>
                <w:color w:val="auto"/>
                <w:spacing w:val="-6"/>
                <w:sz w:val="20"/>
                <w:szCs w:val="20"/>
                <w:lang w:val="en-US" w:eastAsia="zh-CN" w:bidi="ar"/>
              </w:rPr>
              <w:t>由裁量基准的指导和监督检查。</w:t>
            </w:r>
            <w:r>
              <w:rPr>
                <w:rStyle w:val="22"/>
                <w:color w:val="auto"/>
                <w:spacing w:val="-6"/>
                <w:sz w:val="20"/>
                <w:szCs w:val="20"/>
                <w:lang w:val="en-US" w:eastAsia="zh-CN" w:bidi="ar"/>
              </w:rPr>
              <w:br w:type="textWrapping"/>
            </w:r>
            <w:r>
              <w:rPr>
                <w:rStyle w:val="22"/>
                <w:color w:val="auto"/>
                <w:spacing w:val="-17"/>
                <w:sz w:val="20"/>
                <w:szCs w:val="20"/>
                <w:lang w:val="en-US" w:eastAsia="zh-CN" w:bidi="ar"/>
              </w:rPr>
              <w:t>4.对本系统行政处罚事项实施情况进行指导监督。</w:t>
            </w:r>
          </w:p>
        </w:tc>
        <w:tc>
          <w:tcPr>
            <w:tcW w:w="2090" w:type="dxa"/>
            <w:vMerge w:val="restart"/>
            <w:tcBorders>
              <w:top w:val="single" w:color="000000" w:sz="4" w:space="0"/>
              <w:left w:val="single" w:color="000000" w:sz="4" w:space="0"/>
              <w:bottom w:val="single" w:color="000000" w:sz="4" w:space="0"/>
              <w:right w:val="single" w:color="auto" w:sz="4" w:space="0"/>
            </w:tcBorders>
            <w:noWrap w:val="0"/>
            <w:vAlign w:val="center"/>
          </w:tcPr>
          <w:p w14:paraId="69FB62C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04" w:type="dxa"/>
            <w:tcBorders>
              <w:top w:val="single" w:color="auto" w:sz="4" w:space="0"/>
              <w:left w:val="single" w:color="auto" w:sz="4" w:space="0"/>
              <w:bottom w:val="single" w:color="auto" w:sz="4" w:space="0"/>
              <w:right w:val="single" w:color="auto" w:sz="4" w:space="0"/>
            </w:tcBorders>
            <w:noWrap w:val="0"/>
            <w:vAlign w:val="center"/>
          </w:tcPr>
          <w:p w14:paraId="4E2E8B37">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6D03FD68">
        <w:tblPrEx>
          <w:tblCellMar>
            <w:top w:w="0" w:type="dxa"/>
            <w:left w:w="28" w:type="dxa"/>
            <w:bottom w:w="0" w:type="dxa"/>
            <w:right w:w="28" w:type="dxa"/>
          </w:tblCellMar>
        </w:tblPrEx>
        <w:trPr>
          <w:trHeight w:val="3367" w:hRule="atLeast"/>
          <w:jc w:val="center"/>
        </w:trPr>
        <w:tc>
          <w:tcPr>
            <w:tcW w:w="3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7244E">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E4765">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9D177">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8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171B9F">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08833">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C022B">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noWrap w:val="0"/>
            <w:vAlign w:val="center"/>
          </w:tcPr>
          <w:p w14:paraId="08852BE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8E710F7">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pacing w:val="-6"/>
                <w:kern w:val="0"/>
                <w:sz w:val="20"/>
                <w:szCs w:val="20"/>
                <w:u w:val="none"/>
                <w:lang w:val="en-US" w:eastAsia="zh-CN" w:bidi="ar"/>
              </w:rPr>
              <w:t>按照属地监管原则，负责县级行政区域内违法行为的处罚</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35694667">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黑体" w:hAnsi="宋体" w:eastAsia="黑体" w:cs="黑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黑体" w:hAnsi="宋体" w:eastAsia="黑体" w:cs="黑体"/>
                <w:i w:val="0"/>
                <w:iCs w:val="0"/>
                <w:color w:val="auto"/>
                <w:kern w:val="0"/>
                <w:sz w:val="20"/>
                <w:szCs w:val="20"/>
                <w:u w:val="none"/>
                <w:lang w:val="en-US" w:eastAsia="zh-CN" w:bidi="ar"/>
              </w:rPr>
              <w:br w:type="textWrapping"/>
            </w:r>
            <w:r>
              <w:rPr>
                <w:rStyle w:val="22"/>
                <w:color w:val="auto"/>
                <w:sz w:val="20"/>
                <w:szCs w:val="20"/>
                <w:lang w:val="en-US" w:eastAsia="zh-CN" w:bidi="ar"/>
              </w:rPr>
              <w:t>1.执行省市级医保行政部门制定的行政处罚标准规范等配套制度，建立健全对行政处罚的监督制度，也可结合本地实际细化量化行政处罚裁量基准的具体标准。</w:t>
            </w:r>
            <w:r>
              <w:rPr>
                <w:rStyle w:val="22"/>
                <w:color w:val="auto"/>
                <w:sz w:val="20"/>
                <w:szCs w:val="20"/>
                <w:lang w:val="en-US" w:eastAsia="zh-CN" w:bidi="ar"/>
              </w:rPr>
              <w:br w:type="textWrapping"/>
            </w:r>
            <w:r>
              <w:rPr>
                <w:rStyle w:val="22"/>
                <w:color w:val="auto"/>
                <w:sz w:val="20"/>
                <w:szCs w:val="20"/>
                <w:lang w:val="en-US" w:eastAsia="zh-CN" w:bidi="ar"/>
              </w:rPr>
              <w:t>2.依法依规实施本级行政处罚事项并公示行政处罚决定。</w:t>
            </w:r>
          </w:p>
        </w:tc>
        <w:tc>
          <w:tcPr>
            <w:tcW w:w="2090" w:type="dxa"/>
            <w:vMerge w:val="continue"/>
            <w:tcBorders>
              <w:top w:val="single" w:color="000000" w:sz="4" w:space="0"/>
              <w:left w:val="single" w:color="000000" w:sz="4" w:space="0"/>
              <w:bottom w:val="single" w:color="000000" w:sz="4" w:space="0"/>
              <w:right w:val="single" w:color="auto" w:sz="4" w:space="0"/>
            </w:tcBorders>
            <w:noWrap w:val="0"/>
            <w:vAlign w:val="center"/>
          </w:tcPr>
          <w:p w14:paraId="7E32CA3A">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c>
          <w:tcPr>
            <w:tcW w:w="504" w:type="dxa"/>
            <w:tcBorders>
              <w:top w:val="single" w:color="auto" w:sz="4" w:space="0"/>
              <w:left w:val="single" w:color="auto" w:sz="4" w:space="0"/>
              <w:bottom w:val="single" w:color="000000" w:sz="4" w:space="0"/>
              <w:right w:val="single" w:color="auto" w:sz="4" w:space="0"/>
            </w:tcBorders>
            <w:noWrap w:val="0"/>
            <w:vAlign w:val="center"/>
          </w:tcPr>
          <w:p w14:paraId="13C47B71">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bl>
    <w:p w14:paraId="0BC13EA9">
      <w:pPr>
        <w:keepNext w:val="0"/>
        <w:keepLines w:val="0"/>
        <w:pageBreakBefore w:val="0"/>
        <w:widowControl w:val="0"/>
        <w:numPr>
          <w:ilvl w:val="0"/>
          <w:numId w:val="0"/>
        </w:numPr>
        <w:kinsoku/>
        <w:wordWrap/>
        <w:overflowPunct/>
        <w:topLinePunct w:val="0"/>
        <w:autoSpaceDE/>
        <w:autoSpaceDN/>
        <w:bidi w:val="0"/>
        <w:adjustRightInd/>
        <w:snapToGrid/>
        <w:spacing w:before="159" w:beforeLines="50" w:after="159" w:afterLines="50" w:line="590" w:lineRule="exact"/>
        <w:jc w:val="center"/>
        <w:textAlignment w:val="auto"/>
        <w:rPr>
          <w:rFonts w:hint="eastAsia" w:ascii="方正小标宋简体" w:hAnsi="方正小标宋简体" w:eastAsia="方正小标宋简体" w:cs="方正小标宋简体"/>
          <w:i w:val="0"/>
          <w:iCs w:val="0"/>
          <w:color w:val="auto"/>
          <w:kern w:val="0"/>
          <w:sz w:val="44"/>
          <w:szCs w:val="44"/>
          <w:u w:val="none"/>
          <w:lang w:val="en-US" w:eastAsia="zh-CN" w:bidi="ar"/>
        </w:rPr>
      </w:pPr>
      <w:r>
        <w:rPr>
          <w:rFonts w:hint="eastAsia" w:ascii="方正小标宋简体" w:hAnsi="方正小标宋简体" w:eastAsia="方正小标宋简体" w:cs="方正小标宋简体"/>
          <w:i w:val="0"/>
          <w:iCs w:val="0"/>
          <w:color w:val="auto"/>
          <w:kern w:val="0"/>
          <w:sz w:val="44"/>
          <w:szCs w:val="44"/>
          <w:u w:val="none"/>
          <w:lang w:val="en-US" w:eastAsia="zh-CN" w:bidi="ar"/>
        </w:rPr>
        <w:t>枣庄市医疗保障系统权责清单（行政强制）</w:t>
      </w:r>
    </w:p>
    <w:tbl>
      <w:tblPr>
        <w:tblStyle w:val="12"/>
        <w:tblW w:w="15307" w:type="dxa"/>
        <w:jc w:val="center"/>
        <w:tblLayout w:type="fixed"/>
        <w:tblCellMar>
          <w:top w:w="0" w:type="dxa"/>
          <w:left w:w="57" w:type="dxa"/>
          <w:bottom w:w="0" w:type="dxa"/>
          <w:right w:w="57" w:type="dxa"/>
        </w:tblCellMar>
      </w:tblPr>
      <w:tblGrid>
        <w:gridCol w:w="378"/>
        <w:gridCol w:w="1293"/>
        <w:gridCol w:w="827"/>
        <w:gridCol w:w="835"/>
        <w:gridCol w:w="671"/>
        <w:gridCol w:w="3983"/>
        <w:gridCol w:w="434"/>
        <w:gridCol w:w="1502"/>
        <w:gridCol w:w="2525"/>
        <w:gridCol w:w="2353"/>
        <w:gridCol w:w="506"/>
      </w:tblGrid>
      <w:tr w14:paraId="68FE2B0B">
        <w:tblPrEx>
          <w:tblCellMar>
            <w:top w:w="0" w:type="dxa"/>
            <w:left w:w="57" w:type="dxa"/>
            <w:bottom w:w="0" w:type="dxa"/>
            <w:right w:w="57" w:type="dxa"/>
          </w:tblCellMar>
        </w:tblPrEx>
        <w:trPr>
          <w:trHeight w:val="312" w:hRule="atLeast"/>
          <w:jc w:val="center"/>
        </w:trPr>
        <w:tc>
          <w:tcPr>
            <w:tcW w:w="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8F70EE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序</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号</w:t>
            </w:r>
          </w:p>
        </w:tc>
        <w:tc>
          <w:tcPr>
            <w:tcW w:w="1293" w:type="dxa"/>
            <w:vMerge w:val="restart"/>
            <w:tcBorders>
              <w:top w:val="single" w:color="000000" w:sz="4" w:space="0"/>
              <w:left w:val="single" w:color="000000" w:sz="4" w:space="0"/>
              <w:bottom w:val="single" w:color="000000" w:sz="4" w:space="0"/>
              <w:right w:val="single" w:color="000000" w:sz="4" w:space="0"/>
            </w:tcBorders>
            <w:noWrap w:val="0"/>
            <w:vAlign w:val="center"/>
          </w:tcPr>
          <w:p w14:paraId="3F6508D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部门</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职责</w:t>
            </w:r>
          </w:p>
        </w:tc>
        <w:tc>
          <w:tcPr>
            <w:tcW w:w="82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A4D72E">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名称</w:t>
            </w:r>
          </w:p>
        </w:tc>
        <w:tc>
          <w:tcPr>
            <w:tcW w:w="83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5EF531">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事项</w:t>
            </w:r>
          </w:p>
          <w:p w14:paraId="19D43C4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编码</w:t>
            </w:r>
          </w:p>
        </w:tc>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5612958">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类型</w:t>
            </w:r>
          </w:p>
        </w:tc>
        <w:tc>
          <w:tcPr>
            <w:tcW w:w="3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0D3E545">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设定、行使依据及有关条款</w:t>
            </w:r>
          </w:p>
        </w:tc>
        <w:tc>
          <w:tcPr>
            <w:tcW w:w="193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B15473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实施层级及权限</w:t>
            </w:r>
          </w:p>
        </w:tc>
        <w:tc>
          <w:tcPr>
            <w:tcW w:w="2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F970DD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对应责任事项</w:t>
            </w:r>
          </w:p>
        </w:tc>
        <w:tc>
          <w:tcPr>
            <w:tcW w:w="2353" w:type="dxa"/>
            <w:vMerge w:val="restart"/>
            <w:tcBorders>
              <w:top w:val="single" w:color="000000" w:sz="4" w:space="0"/>
              <w:left w:val="single" w:color="000000" w:sz="4" w:space="0"/>
              <w:bottom w:val="single" w:color="000000" w:sz="4" w:space="0"/>
              <w:right w:val="single" w:color="000000" w:sz="4" w:space="0"/>
            </w:tcBorders>
            <w:noWrap w:val="0"/>
            <w:vAlign w:val="center"/>
          </w:tcPr>
          <w:p w14:paraId="66B0C4BB">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追责情形及依据</w:t>
            </w:r>
          </w:p>
        </w:tc>
        <w:tc>
          <w:tcPr>
            <w:tcW w:w="506" w:type="dxa"/>
            <w:vMerge w:val="restart"/>
            <w:tcBorders>
              <w:top w:val="single" w:color="000000" w:sz="4" w:space="0"/>
              <w:left w:val="nil"/>
              <w:bottom w:val="single" w:color="000000" w:sz="4" w:space="0"/>
              <w:right w:val="single" w:color="000000" w:sz="4" w:space="0"/>
            </w:tcBorders>
            <w:noWrap w:val="0"/>
            <w:vAlign w:val="center"/>
          </w:tcPr>
          <w:p w14:paraId="4EB8D48B">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备注</w:t>
            </w:r>
          </w:p>
        </w:tc>
      </w:tr>
      <w:tr w14:paraId="49FC9BC9">
        <w:tblPrEx>
          <w:tblCellMar>
            <w:top w:w="0" w:type="dxa"/>
            <w:left w:w="57" w:type="dxa"/>
            <w:bottom w:w="0" w:type="dxa"/>
            <w:right w:w="57" w:type="dxa"/>
          </w:tblCellMar>
        </w:tblPrEx>
        <w:trPr>
          <w:trHeight w:val="312" w:hRule="atLeast"/>
          <w:jc w:val="center"/>
        </w:trPr>
        <w:tc>
          <w:tcPr>
            <w:tcW w:w="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6D06A">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12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6448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8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41345">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8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02B0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4B466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3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F6DB1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193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6A7DE5">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2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72BF7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23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4D22E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c>
          <w:tcPr>
            <w:tcW w:w="506" w:type="dxa"/>
            <w:vMerge w:val="continue"/>
            <w:tcBorders>
              <w:top w:val="single" w:color="000000" w:sz="4" w:space="0"/>
              <w:left w:val="nil"/>
              <w:bottom w:val="single" w:color="000000" w:sz="4" w:space="0"/>
              <w:right w:val="single" w:color="000000" w:sz="4" w:space="0"/>
            </w:tcBorders>
            <w:noWrap w:val="0"/>
            <w:vAlign w:val="center"/>
          </w:tcPr>
          <w:p w14:paraId="37E592F0">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4"/>
                <w:szCs w:val="24"/>
                <w:u w:val="none"/>
                <w:lang w:val="en-US" w:eastAsia="zh-CN" w:bidi="ar"/>
              </w:rPr>
            </w:pPr>
          </w:p>
        </w:tc>
      </w:tr>
      <w:tr w14:paraId="2A0E347F">
        <w:tblPrEx>
          <w:tblCellMar>
            <w:top w:w="0" w:type="dxa"/>
            <w:left w:w="57" w:type="dxa"/>
            <w:bottom w:w="0" w:type="dxa"/>
            <w:right w:w="57" w:type="dxa"/>
          </w:tblCellMar>
        </w:tblPrEx>
        <w:trPr>
          <w:trHeight w:val="3234" w:hRule="atLeast"/>
          <w:jc w:val="center"/>
        </w:trPr>
        <w:tc>
          <w:tcPr>
            <w:tcW w:w="37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10F4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1</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3432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2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1627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对可能被转移、隐匿或者灭失的医疗保障基金相关资料进行封存</w:t>
            </w:r>
          </w:p>
        </w:tc>
        <w:tc>
          <w:tcPr>
            <w:tcW w:w="83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EFF2B">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3700000</w:t>
            </w:r>
          </w:p>
          <w:p w14:paraId="06C937D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336004</w:t>
            </w:r>
          </w:p>
        </w:tc>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F1E602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行政强制</w:t>
            </w:r>
          </w:p>
        </w:tc>
        <w:tc>
          <w:tcPr>
            <w:tcW w:w="3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E2427B">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1.【法律】《</w:t>
            </w:r>
            <w:r>
              <w:rPr>
                <w:rFonts w:hint="eastAsia" w:ascii="宋体" w:hAnsi="宋体" w:eastAsia="宋体" w:cs="宋体"/>
                <w:i w:val="0"/>
                <w:iCs w:val="0"/>
                <w:color w:val="auto"/>
                <w:kern w:val="0"/>
                <w:sz w:val="20"/>
                <w:szCs w:val="20"/>
                <w:u w:val="none"/>
                <w:lang w:val="en-US" w:eastAsia="zh-CN" w:bidi="ar"/>
              </w:rPr>
              <w:t>中华人民共和国</w:t>
            </w:r>
            <w:r>
              <w:rPr>
                <w:rStyle w:val="22"/>
                <w:rFonts w:hint="eastAsia" w:ascii="宋体" w:hAnsi="宋体" w:eastAsia="宋体" w:cs="宋体"/>
                <w:i w:val="0"/>
                <w:iCs w:val="0"/>
                <w:color w:val="auto"/>
                <w:sz w:val="20"/>
                <w:szCs w:val="20"/>
                <w:lang w:val="en-US" w:eastAsia="zh-CN" w:bidi="ar"/>
              </w:rPr>
              <w:t>社会保险法》（2018年12月修正）第七十九条：社会保险行政部门对社会保险基金的收支、管理和投资运营情况进行监督检查，发现存在问题的，应当提出整改建议，依法作出处理决定或者向有关行政部门提出处理建议。社会保险基金检查结果应当定期向社会公布。社会保险行政部门对社会保险基金实施监督检查，有权采取下列措施：（一）查阅、记录、复制与社会保险基金收支、管理和投资运营相关的资料，对可能被转移、隐匿或者灭失的资料予以封存；（二）询问与调查事项有关的单位和个人，要求其对与调查事项有关的问题作出说明、提供有关证明材料；（三）对隐匿、转移、侵占、挪用社会保险基金的行为予以制止并责令改正。</w:t>
            </w:r>
            <w:r>
              <w:rPr>
                <w:rStyle w:val="22"/>
                <w:rFonts w:hint="eastAsia" w:ascii="宋体" w:hAnsi="宋体" w:eastAsia="宋体" w:cs="宋体"/>
                <w:i w:val="0"/>
                <w:iCs w:val="0"/>
                <w:color w:val="auto"/>
                <w:sz w:val="20"/>
                <w:szCs w:val="20"/>
                <w:lang w:val="en-US" w:eastAsia="zh-CN" w:bidi="ar"/>
              </w:rPr>
              <w:br w:type="textWrapping"/>
            </w:r>
            <w:r>
              <w:rPr>
                <w:rStyle w:val="22"/>
                <w:rFonts w:hint="eastAsia" w:ascii="宋体" w:hAnsi="宋体" w:eastAsia="宋体" w:cs="宋体"/>
                <w:i w:val="0"/>
                <w:iCs w:val="0"/>
                <w:color w:val="auto"/>
                <w:sz w:val="20"/>
                <w:szCs w:val="20"/>
                <w:lang w:val="en-US" w:eastAsia="zh-CN" w:bidi="ar"/>
              </w:rPr>
              <w:t>2.【行政法规】《医疗保障基金使用监督管理条例》（2021年1月国务院令第735号）第二十七条：医疗保障行政部门实施监督检查，可以采取下列措施：（一）进入现场检查；（二）询问有关人员；（三）要求被检查对象提供与检查事项相关的文件资料，并作出解释和说明；（四）采取记录、录音、录像、照相或者复制等方式收集有关情况和资料；（五）对可能被转移、隐匿或者灭失的资料等予以封存；（六）聘请符合条件的会计师事务所等第三方机构和专业人员协助开展检查；（七）法律、法规规定的其他措施。</w:t>
            </w:r>
          </w:p>
        </w:tc>
        <w:tc>
          <w:tcPr>
            <w:tcW w:w="434" w:type="dxa"/>
            <w:tcBorders>
              <w:top w:val="single" w:color="000000" w:sz="4" w:space="0"/>
              <w:left w:val="single" w:color="000000" w:sz="4" w:space="0"/>
              <w:right w:val="single" w:color="000000" w:sz="4" w:space="0"/>
            </w:tcBorders>
            <w:noWrap w:val="0"/>
            <w:vAlign w:val="center"/>
          </w:tcPr>
          <w:p w14:paraId="123761F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市</w:t>
            </w:r>
          </w:p>
        </w:tc>
        <w:tc>
          <w:tcPr>
            <w:tcW w:w="1502" w:type="dxa"/>
            <w:tcBorders>
              <w:top w:val="single" w:color="000000" w:sz="4" w:space="0"/>
              <w:left w:val="single" w:color="000000" w:sz="4" w:space="0"/>
              <w:right w:val="single" w:color="000000" w:sz="4" w:space="0"/>
            </w:tcBorders>
            <w:noWrap w:val="0"/>
            <w:vAlign w:val="center"/>
          </w:tcPr>
          <w:p w14:paraId="20AB1D61">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按照属地监管原则，负责本系统跨区域、重大事项检查相关的行政强制及对隐匿、转移、侵占、挪用医疗保障基金等违法行为检查相关的行政强制。</w:t>
            </w:r>
          </w:p>
        </w:tc>
        <w:tc>
          <w:tcPr>
            <w:tcW w:w="2525" w:type="dxa"/>
            <w:tcBorders>
              <w:top w:val="single" w:color="000000" w:sz="4" w:space="0"/>
              <w:left w:val="single" w:color="000000" w:sz="4" w:space="0"/>
              <w:right w:val="single" w:color="000000" w:sz="4" w:space="0"/>
            </w:tcBorders>
            <w:noWrap w:val="0"/>
            <w:vAlign w:val="center"/>
          </w:tcPr>
          <w:p w14:paraId="645CC9D7">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2"/>
                <w:rFonts w:hint="eastAsia" w:ascii="宋体" w:hAnsi="宋体" w:eastAsia="宋体" w:cs="宋体"/>
                <w:i w:val="0"/>
                <w:iCs w:val="0"/>
                <w:color w:val="auto"/>
                <w:sz w:val="20"/>
                <w:szCs w:val="20"/>
                <w:lang w:val="en-US" w:eastAsia="zh-CN" w:bidi="ar"/>
              </w:rPr>
              <w:br w:type="textWrapping"/>
            </w:r>
            <w:r>
              <w:rPr>
                <w:rStyle w:val="22"/>
                <w:rFonts w:hint="eastAsia" w:ascii="宋体" w:hAnsi="宋体" w:eastAsia="宋体" w:cs="宋体"/>
                <w:i w:val="0"/>
                <w:iCs w:val="0"/>
                <w:color w:val="auto"/>
                <w:sz w:val="20"/>
                <w:szCs w:val="20"/>
                <w:lang w:val="en-US" w:eastAsia="zh-CN" w:bidi="ar"/>
              </w:rPr>
              <w:t>1.依法依规履行通知、告知、决定、执行等责任。</w:t>
            </w:r>
            <w:r>
              <w:rPr>
                <w:rStyle w:val="22"/>
                <w:rFonts w:hint="eastAsia" w:ascii="宋体" w:hAnsi="宋体" w:eastAsia="宋体" w:cs="宋体"/>
                <w:i w:val="0"/>
                <w:iCs w:val="0"/>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2"/>
                <w:rFonts w:hint="eastAsia" w:ascii="宋体" w:hAnsi="宋体" w:eastAsia="宋体" w:cs="宋体"/>
                <w:i w:val="0"/>
                <w:iCs w:val="0"/>
                <w:color w:val="auto"/>
                <w:sz w:val="20"/>
                <w:szCs w:val="20"/>
                <w:lang w:val="en-US" w:eastAsia="zh-CN" w:bidi="ar"/>
              </w:rPr>
              <w:br w:type="textWrapping"/>
            </w:r>
            <w:r>
              <w:rPr>
                <w:rStyle w:val="22"/>
                <w:rFonts w:hint="eastAsia" w:ascii="宋体" w:hAnsi="宋体" w:eastAsia="宋体" w:cs="宋体"/>
                <w:i w:val="0"/>
                <w:iCs w:val="0"/>
                <w:color w:val="auto"/>
                <w:sz w:val="20"/>
                <w:szCs w:val="20"/>
                <w:lang w:val="en-US" w:eastAsia="zh-CN" w:bidi="ar"/>
              </w:rPr>
              <w:t>2.对县级行政强制事项实施情况进行指导监督。</w:t>
            </w:r>
          </w:p>
        </w:tc>
        <w:tc>
          <w:tcPr>
            <w:tcW w:w="2353" w:type="dxa"/>
            <w:vMerge w:val="restart"/>
            <w:tcBorders>
              <w:top w:val="single" w:color="000000" w:sz="4" w:space="0"/>
              <w:left w:val="single" w:color="000000" w:sz="4" w:space="0"/>
              <w:bottom w:val="single" w:color="000000" w:sz="4" w:space="0"/>
              <w:right w:val="single" w:color="000000" w:sz="4" w:space="0"/>
            </w:tcBorders>
            <w:noWrap w:val="0"/>
            <w:vAlign w:val="center"/>
          </w:tcPr>
          <w:p w14:paraId="7BA60BCA">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1.【法律】《</w:t>
            </w:r>
            <w:r>
              <w:rPr>
                <w:rFonts w:hint="eastAsia" w:ascii="宋体" w:hAnsi="宋体" w:eastAsia="宋体" w:cs="宋体"/>
                <w:i w:val="0"/>
                <w:iCs w:val="0"/>
                <w:color w:val="auto"/>
                <w:kern w:val="0"/>
                <w:sz w:val="20"/>
                <w:szCs w:val="20"/>
                <w:u w:val="none"/>
                <w:lang w:val="en-US" w:eastAsia="zh-CN" w:bidi="ar"/>
              </w:rPr>
              <w:t>中华人民共和国</w:t>
            </w:r>
            <w:r>
              <w:rPr>
                <w:rStyle w:val="22"/>
                <w:rFonts w:hint="eastAsia" w:ascii="宋体" w:hAnsi="宋体" w:eastAsia="宋体" w:cs="宋体"/>
                <w:i w:val="0"/>
                <w:iCs w:val="0"/>
                <w:color w:val="auto"/>
                <w:sz w:val="20"/>
                <w:szCs w:val="20"/>
                <w:lang w:val="en-US" w:eastAsia="zh-CN" w:bidi="ar"/>
              </w:rPr>
              <w:t>社会保险法》（2018年12月修正）第九十三条：　国家工作人员在社会保险管理、监督工作中滥用职权、玩忽职守、徇私舞弊的，依法给予处分。</w:t>
            </w:r>
            <w:r>
              <w:rPr>
                <w:rStyle w:val="22"/>
                <w:rFonts w:hint="eastAsia" w:ascii="宋体" w:hAnsi="宋体" w:eastAsia="宋体" w:cs="宋体"/>
                <w:i w:val="0"/>
                <w:iCs w:val="0"/>
                <w:color w:val="auto"/>
                <w:sz w:val="20"/>
                <w:szCs w:val="20"/>
                <w:lang w:val="en-US" w:eastAsia="zh-CN" w:bidi="ar"/>
              </w:rPr>
              <w:br w:type="textWrapping"/>
            </w:r>
            <w:r>
              <w:rPr>
                <w:rStyle w:val="22"/>
                <w:rFonts w:hint="eastAsia" w:ascii="宋体" w:hAnsi="宋体" w:eastAsia="宋体" w:cs="宋体"/>
                <w:i w:val="0"/>
                <w:iCs w:val="0"/>
                <w:color w:val="auto"/>
                <w:sz w:val="20"/>
                <w:szCs w:val="20"/>
                <w:lang w:val="en-US" w:eastAsia="zh-CN" w:bidi="ar"/>
              </w:rPr>
              <w:t>2.【法律】《</w:t>
            </w:r>
            <w:r>
              <w:rPr>
                <w:rFonts w:hint="eastAsia" w:ascii="宋体" w:hAnsi="宋体" w:eastAsia="宋体" w:cs="宋体"/>
                <w:i w:val="0"/>
                <w:iCs w:val="0"/>
                <w:color w:val="auto"/>
                <w:kern w:val="0"/>
                <w:sz w:val="20"/>
                <w:szCs w:val="20"/>
                <w:u w:val="none"/>
                <w:lang w:val="en-US" w:eastAsia="zh-CN" w:bidi="ar"/>
              </w:rPr>
              <w:t>中华人民共和国</w:t>
            </w:r>
            <w:r>
              <w:rPr>
                <w:rStyle w:val="22"/>
                <w:rFonts w:hint="eastAsia" w:ascii="宋体" w:hAnsi="宋体" w:eastAsia="宋体" w:cs="宋体"/>
                <w:i w:val="0"/>
                <w:iCs w:val="0"/>
                <w:color w:val="auto"/>
                <w:sz w:val="20"/>
                <w:szCs w:val="20"/>
                <w:lang w:val="en-US" w:eastAsia="zh-CN" w:bidi="ar"/>
              </w:rPr>
              <w:t>监察法》（2018年3月通过）规定的追责情形。</w:t>
            </w:r>
            <w:r>
              <w:rPr>
                <w:rStyle w:val="22"/>
                <w:rFonts w:hint="eastAsia" w:ascii="宋体" w:hAnsi="宋体" w:eastAsia="宋体" w:cs="宋体"/>
                <w:i w:val="0"/>
                <w:iCs w:val="0"/>
                <w:color w:val="auto"/>
                <w:sz w:val="20"/>
                <w:szCs w:val="20"/>
                <w:lang w:val="en-US" w:eastAsia="zh-CN" w:bidi="ar"/>
              </w:rPr>
              <w:br w:type="textWrapping"/>
            </w:r>
            <w:r>
              <w:rPr>
                <w:rStyle w:val="22"/>
                <w:rFonts w:hint="eastAsia" w:ascii="宋体" w:hAnsi="宋体" w:eastAsia="宋体" w:cs="宋体"/>
                <w:i w:val="0"/>
                <w:iCs w:val="0"/>
                <w:color w:val="auto"/>
                <w:sz w:val="20"/>
                <w:szCs w:val="20"/>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06" w:type="dxa"/>
            <w:tcBorders>
              <w:top w:val="single" w:color="000000" w:sz="4" w:space="0"/>
              <w:left w:val="single" w:color="000000" w:sz="4" w:space="0"/>
              <w:bottom w:val="single" w:color="000000" w:sz="4" w:space="0"/>
              <w:right w:val="single" w:color="000000" w:sz="4" w:space="0"/>
            </w:tcBorders>
            <w:noWrap w:val="0"/>
            <w:vAlign w:val="center"/>
          </w:tcPr>
          <w:p w14:paraId="68D4A1B8">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r>
      <w:tr w14:paraId="3CC43B84">
        <w:tblPrEx>
          <w:tblCellMar>
            <w:top w:w="0" w:type="dxa"/>
            <w:left w:w="57" w:type="dxa"/>
            <w:bottom w:w="0" w:type="dxa"/>
            <w:right w:w="57" w:type="dxa"/>
          </w:tblCellMar>
        </w:tblPrEx>
        <w:trPr>
          <w:trHeight w:val="3960" w:hRule="atLeast"/>
          <w:jc w:val="center"/>
        </w:trPr>
        <w:tc>
          <w:tcPr>
            <w:tcW w:w="37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CE5C5">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A6FF52">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82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47B39">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83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2F4FE">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297E77">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3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FA6C72">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434" w:type="dxa"/>
            <w:tcBorders>
              <w:top w:val="single" w:color="000000" w:sz="4" w:space="0"/>
              <w:left w:val="single" w:color="000000" w:sz="4" w:space="0"/>
              <w:bottom w:val="single" w:color="000000" w:sz="4" w:space="0"/>
              <w:right w:val="single" w:color="000000" w:sz="4" w:space="0"/>
            </w:tcBorders>
            <w:noWrap w:val="0"/>
            <w:vAlign w:val="center"/>
          </w:tcPr>
          <w:p w14:paraId="16CFCDF9">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县</w:t>
            </w:r>
          </w:p>
        </w:tc>
        <w:tc>
          <w:tcPr>
            <w:tcW w:w="1502" w:type="dxa"/>
            <w:tcBorders>
              <w:top w:val="single" w:color="000000" w:sz="4" w:space="0"/>
              <w:left w:val="single" w:color="000000" w:sz="4" w:space="0"/>
              <w:bottom w:val="single" w:color="000000" w:sz="4" w:space="0"/>
              <w:right w:val="single" w:color="000000" w:sz="4" w:space="0"/>
            </w:tcBorders>
            <w:noWrap w:val="0"/>
            <w:vAlign w:val="center"/>
          </w:tcPr>
          <w:p w14:paraId="7FC1F5FD">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Style w:val="22"/>
                <w:rFonts w:hint="eastAsia" w:ascii="宋体" w:hAnsi="宋体" w:eastAsia="宋体" w:cs="宋体"/>
                <w:i w:val="0"/>
                <w:iCs w:val="0"/>
                <w:color w:val="auto"/>
                <w:sz w:val="20"/>
                <w:szCs w:val="20"/>
                <w:lang w:val="en-US" w:eastAsia="zh-CN" w:bidi="ar"/>
              </w:rPr>
              <w:t>按照属地监管原则，负责本行政区域内对隐匿、转移、侵占、挪用医疗保障基金等违法行为检查相关的行政强制。</w:t>
            </w:r>
          </w:p>
        </w:tc>
        <w:tc>
          <w:tcPr>
            <w:tcW w:w="2525" w:type="dxa"/>
            <w:tcBorders>
              <w:top w:val="single" w:color="000000" w:sz="4" w:space="0"/>
              <w:left w:val="single" w:color="000000" w:sz="4" w:space="0"/>
              <w:bottom w:val="single" w:color="000000" w:sz="4" w:space="0"/>
              <w:right w:val="single" w:color="000000" w:sz="4" w:space="0"/>
            </w:tcBorders>
            <w:noWrap w:val="0"/>
            <w:vAlign w:val="center"/>
          </w:tcPr>
          <w:p w14:paraId="70E2B035">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Style w:val="22"/>
                <w:rFonts w:hint="eastAsia" w:ascii="宋体" w:hAnsi="宋体" w:eastAsia="宋体" w:cs="宋体"/>
                <w:i w:val="0"/>
                <w:iCs w:val="0"/>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2"/>
                <w:rFonts w:ascii="宋体" w:hAnsi="宋体" w:eastAsia="宋体" w:cs="宋体"/>
                <w:i w:val="0"/>
                <w:iCs w:val="0"/>
                <w:color w:val="auto"/>
                <w:sz w:val="20"/>
                <w:szCs w:val="20"/>
                <w:lang w:val="en-US" w:eastAsia="zh-CN" w:bidi="ar"/>
              </w:rPr>
              <w:br w:type="textWrapping"/>
            </w:r>
            <w:r>
              <w:rPr>
                <w:rStyle w:val="22"/>
                <w:rFonts w:ascii="宋体" w:hAnsi="宋体" w:eastAsia="宋体" w:cs="宋体"/>
                <w:i w:val="0"/>
                <w:iCs w:val="0"/>
                <w:color w:val="auto"/>
                <w:sz w:val="20"/>
                <w:szCs w:val="20"/>
                <w:lang w:val="en-US" w:eastAsia="zh-CN" w:bidi="ar"/>
              </w:rPr>
              <w:t>1.依法依规履行通知、告知、决定、执行等责任</w:t>
            </w:r>
          </w:p>
        </w:tc>
        <w:tc>
          <w:tcPr>
            <w:tcW w:w="23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C996D7">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c>
          <w:tcPr>
            <w:tcW w:w="506" w:type="dxa"/>
            <w:tcBorders>
              <w:top w:val="single" w:color="000000" w:sz="4" w:space="0"/>
              <w:left w:val="single" w:color="000000" w:sz="4" w:space="0"/>
              <w:bottom w:val="single" w:color="000000" w:sz="4" w:space="0"/>
              <w:right w:val="single" w:color="000000" w:sz="4" w:space="0"/>
            </w:tcBorders>
            <w:noWrap w:val="0"/>
            <w:vAlign w:val="center"/>
          </w:tcPr>
          <w:p w14:paraId="7A55ADCB">
            <w:pPr>
              <w:keepNext w:val="0"/>
              <w:keepLines w:val="0"/>
              <w:pageBreakBefore w:val="0"/>
              <w:widowControl/>
              <w:suppressLineNumbers w:val="0"/>
              <w:kinsoku/>
              <w:wordWrap/>
              <w:overflowPunct/>
              <w:topLinePunct w:val="0"/>
              <w:autoSpaceDE/>
              <w:autoSpaceDN/>
              <w:bidi w:val="0"/>
              <w:adjustRightInd/>
              <w:snapToGrid/>
              <w:spacing w:line="270" w:lineRule="exact"/>
              <w:jc w:val="left"/>
              <w:textAlignment w:val="center"/>
              <w:rPr>
                <w:rStyle w:val="22"/>
                <w:rFonts w:hint="eastAsia" w:ascii="宋体" w:hAnsi="宋体" w:eastAsia="宋体" w:cs="宋体"/>
                <w:i w:val="0"/>
                <w:iCs w:val="0"/>
                <w:color w:val="auto"/>
                <w:sz w:val="20"/>
                <w:szCs w:val="20"/>
                <w:lang w:val="en-US" w:eastAsia="zh-CN" w:bidi="ar"/>
              </w:rPr>
            </w:pPr>
          </w:p>
        </w:tc>
      </w:tr>
    </w:tbl>
    <w:p w14:paraId="1A151E32">
      <w:pPr>
        <w:keepNext w:val="0"/>
        <w:keepLines w:val="0"/>
        <w:pageBreakBefore w:val="0"/>
        <w:widowControl w:val="0"/>
        <w:numPr>
          <w:ilvl w:val="0"/>
          <w:numId w:val="0"/>
        </w:numPr>
        <w:kinsoku/>
        <w:wordWrap/>
        <w:overflowPunct/>
        <w:topLinePunct w:val="0"/>
        <w:autoSpaceDE/>
        <w:autoSpaceDN/>
        <w:bidi w:val="0"/>
        <w:adjustRightInd/>
        <w:snapToGrid/>
        <w:spacing w:before="159" w:beforeLines="50" w:after="159" w:afterLines="50" w:line="590" w:lineRule="exact"/>
        <w:jc w:val="center"/>
        <w:textAlignment w:val="auto"/>
        <w:rPr>
          <w:rFonts w:hint="eastAsia" w:ascii="方正小标宋简体" w:hAnsi="方正小标宋简体" w:eastAsia="方正小标宋简体" w:cs="方正小标宋简体"/>
          <w:i w:val="0"/>
          <w:iCs w:val="0"/>
          <w:color w:val="auto"/>
          <w:kern w:val="0"/>
          <w:sz w:val="44"/>
          <w:szCs w:val="44"/>
          <w:u w:val="none"/>
          <w:lang w:val="en-US" w:eastAsia="zh-CN" w:bidi="ar"/>
        </w:rPr>
      </w:pPr>
      <w:r>
        <w:rPr>
          <w:rFonts w:hint="eastAsia" w:ascii="方正小标宋简体" w:hAnsi="方正小标宋简体" w:eastAsia="方正小标宋简体" w:cs="方正小标宋简体"/>
          <w:i w:val="0"/>
          <w:iCs w:val="0"/>
          <w:color w:val="auto"/>
          <w:kern w:val="0"/>
          <w:sz w:val="44"/>
          <w:szCs w:val="44"/>
          <w:u w:val="none"/>
          <w:lang w:val="en-US" w:eastAsia="zh-CN" w:bidi="ar"/>
        </w:rPr>
        <w:t>枣庄市医疗保障系统权责清单（行政检查）</w:t>
      </w:r>
    </w:p>
    <w:tbl>
      <w:tblPr>
        <w:tblStyle w:val="12"/>
        <w:tblW w:w="15307" w:type="dxa"/>
        <w:jc w:val="center"/>
        <w:tblLayout w:type="fixed"/>
        <w:tblCellMar>
          <w:top w:w="0" w:type="dxa"/>
          <w:left w:w="57" w:type="dxa"/>
          <w:bottom w:w="0" w:type="dxa"/>
          <w:right w:w="57" w:type="dxa"/>
        </w:tblCellMar>
      </w:tblPr>
      <w:tblGrid>
        <w:gridCol w:w="404"/>
        <w:gridCol w:w="1192"/>
        <w:gridCol w:w="844"/>
        <w:gridCol w:w="785"/>
        <w:gridCol w:w="562"/>
        <w:gridCol w:w="3686"/>
        <w:gridCol w:w="403"/>
        <w:gridCol w:w="1571"/>
        <w:gridCol w:w="3587"/>
        <w:gridCol w:w="1695"/>
        <w:gridCol w:w="578"/>
      </w:tblGrid>
      <w:tr w14:paraId="41780ED8">
        <w:tblPrEx>
          <w:tblCellMar>
            <w:top w:w="0" w:type="dxa"/>
            <w:left w:w="57" w:type="dxa"/>
            <w:bottom w:w="0" w:type="dxa"/>
            <w:right w:w="57" w:type="dxa"/>
          </w:tblCellMar>
        </w:tblPrEx>
        <w:trPr>
          <w:trHeight w:val="381" w:hRule="atLeast"/>
          <w:jc w:val="center"/>
        </w:trPr>
        <w:tc>
          <w:tcPr>
            <w:tcW w:w="4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9CA3A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序</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号</w:t>
            </w:r>
          </w:p>
        </w:tc>
        <w:tc>
          <w:tcPr>
            <w:tcW w:w="1192" w:type="dxa"/>
            <w:vMerge w:val="restart"/>
            <w:tcBorders>
              <w:top w:val="single" w:color="000000" w:sz="4" w:space="0"/>
              <w:left w:val="single" w:color="000000" w:sz="4" w:space="0"/>
              <w:bottom w:val="single" w:color="000000" w:sz="4" w:space="0"/>
              <w:right w:val="single" w:color="000000" w:sz="4" w:space="0"/>
            </w:tcBorders>
            <w:noWrap w:val="0"/>
            <w:vAlign w:val="center"/>
          </w:tcPr>
          <w:p w14:paraId="4A7AD1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部门</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职责</w:t>
            </w:r>
          </w:p>
        </w:tc>
        <w:tc>
          <w:tcPr>
            <w:tcW w:w="844" w:type="dxa"/>
            <w:vMerge w:val="restart"/>
            <w:tcBorders>
              <w:top w:val="single" w:color="000000" w:sz="4" w:space="0"/>
              <w:left w:val="single" w:color="000000" w:sz="4" w:space="0"/>
              <w:bottom w:val="single" w:color="000000" w:sz="4" w:space="0"/>
              <w:right w:val="single" w:color="000000" w:sz="4" w:space="0"/>
            </w:tcBorders>
            <w:noWrap w:val="0"/>
            <w:vAlign w:val="center"/>
          </w:tcPr>
          <w:p w14:paraId="63390B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名称</w:t>
            </w:r>
          </w:p>
        </w:tc>
        <w:tc>
          <w:tcPr>
            <w:tcW w:w="785" w:type="dxa"/>
            <w:vMerge w:val="restart"/>
            <w:tcBorders>
              <w:top w:val="single" w:color="000000" w:sz="4" w:space="0"/>
              <w:left w:val="single" w:color="000000" w:sz="4" w:space="0"/>
              <w:bottom w:val="single" w:color="000000" w:sz="4" w:space="0"/>
              <w:right w:val="single" w:color="000000" w:sz="4" w:space="0"/>
            </w:tcBorders>
            <w:noWrap w:val="0"/>
            <w:vAlign w:val="center"/>
          </w:tcPr>
          <w:p w14:paraId="288962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事项</w:t>
            </w:r>
          </w:p>
          <w:p w14:paraId="17E3F4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编码</w:t>
            </w:r>
          </w:p>
        </w:tc>
        <w:tc>
          <w:tcPr>
            <w:tcW w:w="562" w:type="dxa"/>
            <w:vMerge w:val="restart"/>
            <w:tcBorders>
              <w:top w:val="single" w:color="000000" w:sz="4" w:space="0"/>
              <w:left w:val="single" w:color="000000" w:sz="4" w:space="0"/>
              <w:bottom w:val="single" w:color="000000" w:sz="4" w:space="0"/>
              <w:right w:val="single" w:color="000000" w:sz="4" w:space="0"/>
            </w:tcBorders>
            <w:noWrap w:val="0"/>
            <w:vAlign w:val="center"/>
          </w:tcPr>
          <w:p w14:paraId="1D2FB2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类型</w:t>
            </w:r>
          </w:p>
        </w:tc>
        <w:tc>
          <w:tcPr>
            <w:tcW w:w="3686" w:type="dxa"/>
            <w:vMerge w:val="restart"/>
            <w:tcBorders>
              <w:top w:val="single" w:color="000000" w:sz="4" w:space="0"/>
              <w:left w:val="single" w:color="000000" w:sz="4" w:space="0"/>
              <w:bottom w:val="single" w:color="000000" w:sz="4" w:space="0"/>
              <w:right w:val="single" w:color="000000" w:sz="4" w:space="0"/>
            </w:tcBorders>
            <w:noWrap w:val="0"/>
            <w:vAlign w:val="center"/>
          </w:tcPr>
          <w:p w14:paraId="506C63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设定、行使依据及有关条款</w:t>
            </w:r>
          </w:p>
        </w:tc>
        <w:tc>
          <w:tcPr>
            <w:tcW w:w="19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1F626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实施层级及权限</w:t>
            </w:r>
          </w:p>
        </w:tc>
        <w:tc>
          <w:tcPr>
            <w:tcW w:w="3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DA8AF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对应责任事项</w:t>
            </w:r>
          </w:p>
        </w:tc>
        <w:tc>
          <w:tcPr>
            <w:tcW w:w="1695" w:type="dxa"/>
            <w:vMerge w:val="restart"/>
            <w:tcBorders>
              <w:top w:val="single" w:color="000000" w:sz="4" w:space="0"/>
              <w:left w:val="single" w:color="000000" w:sz="4" w:space="0"/>
              <w:bottom w:val="single" w:color="000000" w:sz="4" w:space="0"/>
              <w:right w:val="single" w:color="000000" w:sz="4" w:space="0"/>
            </w:tcBorders>
            <w:noWrap w:val="0"/>
            <w:vAlign w:val="center"/>
          </w:tcPr>
          <w:p w14:paraId="4F2740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追责情形及依据</w:t>
            </w:r>
          </w:p>
        </w:tc>
        <w:tc>
          <w:tcPr>
            <w:tcW w:w="578" w:type="dxa"/>
            <w:vMerge w:val="restart"/>
            <w:tcBorders>
              <w:top w:val="single" w:color="000000" w:sz="4" w:space="0"/>
              <w:left w:val="nil"/>
              <w:bottom w:val="single" w:color="000000" w:sz="4" w:space="0"/>
              <w:right w:val="single" w:color="000000" w:sz="4" w:space="0"/>
            </w:tcBorders>
            <w:noWrap w:val="0"/>
            <w:vAlign w:val="center"/>
          </w:tcPr>
          <w:p w14:paraId="0C445B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备</w:t>
            </w:r>
          </w:p>
          <w:p w14:paraId="5ACEE6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注</w:t>
            </w:r>
          </w:p>
        </w:tc>
      </w:tr>
      <w:tr w14:paraId="5D7F095E">
        <w:tblPrEx>
          <w:tblCellMar>
            <w:top w:w="0" w:type="dxa"/>
            <w:left w:w="57" w:type="dxa"/>
            <w:bottom w:w="0" w:type="dxa"/>
            <w:right w:w="57" w:type="dxa"/>
          </w:tblCellMar>
        </w:tblPrEx>
        <w:trPr>
          <w:trHeight w:val="335" w:hRule="atLeast"/>
          <w:jc w:val="center"/>
        </w:trPr>
        <w:tc>
          <w:tcPr>
            <w:tcW w:w="4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74B81">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119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88DE06">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8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5EBD1">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7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1D98F">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AAB2E">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36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2F1192">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19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D2B566">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3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F8C235">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16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2CCF8">
            <w:pPr>
              <w:keepNext w:val="0"/>
              <w:keepLines w:val="0"/>
              <w:pageBreakBefore w:val="0"/>
              <w:widowControl/>
              <w:kinsoku/>
              <w:wordWrap/>
              <w:overflowPunct/>
              <w:topLinePunct w:val="0"/>
              <w:autoSpaceDE/>
              <w:autoSpaceDN/>
              <w:bidi w:val="0"/>
              <w:adjustRightInd/>
              <w:snapToGrid/>
              <w:spacing w:line="260" w:lineRule="exact"/>
              <w:jc w:val="center"/>
              <w:rPr>
                <w:rFonts w:hint="eastAsia" w:ascii="黑体" w:hAnsi="宋体" w:eastAsia="黑体" w:cs="黑体"/>
                <w:i w:val="0"/>
                <w:iCs w:val="0"/>
                <w:color w:val="auto"/>
                <w:sz w:val="22"/>
                <w:szCs w:val="22"/>
                <w:u w:val="none"/>
              </w:rPr>
            </w:pPr>
          </w:p>
        </w:tc>
        <w:tc>
          <w:tcPr>
            <w:tcW w:w="578" w:type="dxa"/>
            <w:vMerge w:val="continue"/>
            <w:tcBorders>
              <w:top w:val="single" w:color="000000" w:sz="4" w:space="0"/>
              <w:left w:val="nil"/>
              <w:bottom w:val="single" w:color="000000" w:sz="4" w:space="0"/>
              <w:right w:val="single" w:color="000000" w:sz="4" w:space="0"/>
            </w:tcBorders>
            <w:noWrap w:val="0"/>
            <w:vAlign w:val="center"/>
          </w:tcPr>
          <w:p w14:paraId="490F5C15">
            <w:pPr>
              <w:jc w:val="center"/>
              <w:rPr>
                <w:rFonts w:hint="eastAsia" w:ascii="黑体" w:hAnsi="宋体" w:eastAsia="黑体" w:cs="黑体"/>
                <w:i w:val="0"/>
                <w:iCs w:val="0"/>
                <w:color w:val="auto"/>
                <w:sz w:val="22"/>
                <w:szCs w:val="22"/>
                <w:u w:val="none"/>
              </w:rPr>
            </w:pPr>
          </w:p>
        </w:tc>
      </w:tr>
      <w:tr w14:paraId="18553FEC">
        <w:tblPrEx>
          <w:tblCellMar>
            <w:top w:w="0" w:type="dxa"/>
            <w:left w:w="57" w:type="dxa"/>
            <w:bottom w:w="0" w:type="dxa"/>
            <w:right w:w="57" w:type="dxa"/>
          </w:tblCellMar>
        </w:tblPrEx>
        <w:trPr>
          <w:trHeight w:val="3477" w:hRule="atLeast"/>
          <w:jc w:val="center"/>
        </w:trPr>
        <w:tc>
          <w:tcPr>
            <w:tcW w:w="404"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1880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92"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DF9EB">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6EE2B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对纳入医疗保障基金支付范围的医疗服务行为和医疗费用及医保经办业务开展监督检查</w:t>
            </w: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EB823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3700000636003</w:t>
            </w:r>
          </w:p>
        </w:tc>
        <w:tc>
          <w:tcPr>
            <w:tcW w:w="562" w:type="dxa"/>
            <w:vMerge w:val="restart"/>
            <w:tcBorders>
              <w:top w:val="single" w:color="000000" w:sz="4" w:space="0"/>
              <w:left w:val="single" w:color="000000" w:sz="4" w:space="0"/>
              <w:bottom w:val="single" w:color="000000" w:sz="4" w:space="0"/>
              <w:right w:val="single" w:color="000000" w:sz="4" w:space="0"/>
            </w:tcBorders>
            <w:noWrap w:val="0"/>
            <w:vAlign w:val="center"/>
          </w:tcPr>
          <w:p w14:paraId="39EF92F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行政检查</w:t>
            </w:r>
          </w:p>
        </w:tc>
        <w:tc>
          <w:tcPr>
            <w:tcW w:w="3686" w:type="dxa"/>
            <w:vMerge w:val="restart"/>
            <w:tcBorders>
              <w:top w:val="single" w:color="000000" w:sz="4" w:space="0"/>
              <w:left w:val="single" w:color="000000" w:sz="4" w:space="0"/>
              <w:bottom w:val="single" w:color="000000" w:sz="4" w:space="0"/>
              <w:right w:val="single" w:color="000000" w:sz="4" w:space="0"/>
            </w:tcBorders>
            <w:noWrap w:val="0"/>
            <w:vAlign w:val="center"/>
          </w:tcPr>
          <w:p w14:paraId="19A6226D">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8"/>
                <w:szCs w:val="18"/>
                <w:u w:val="none"/>
                <w:lang w:val="en-US" w:eastAsia="zh-CN" w:bidi="ar"/>
              </w:rPr>
              <w:t>1.【法律】《中华人民共和国社会保险法》（2018年12月修正）第七十七条第一款：县级以上人民政府社会保险行政部门应当加强对用人单位和个人遵守社会保险法律、法规情况的监督检查。第七十九条：社会保险行政部门对社会保险基金的收支、管理和投资运营情况进行监督检查，发现存在问题的，应当提出整改建议，依法作出处理决定或者向有关行政部门提出处理建议。社会保险基金检查结果应当定期向社会公布。</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法律】《中华人民共和国基本医疗卫生与健康促进法》（2019年12月通过）第八十七条：县级以上人民政府医疗保障主管部门应当提高医疗保障监管能力和水平，对纳入基本医疗保险基金支付范围的医疗服务行为和医疗费用加强监督管理，确保基本医疗保险基金合理使用、安全可控。</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行政法规】《医疗保障基金使用监督管理条例》（2021年1月国务院令第735号）第二十二条第二款：医疗保障行政部门应当加强对纳入医疗保障基金支付范围的医疗服务行为和医疗费用的监督，规范医疗保障经办业务，依法查处违法使用医疗保障基金的行为。</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行政法规】《社会救助暂行办法》（2014年5月国务院令第649号，根据2019年3月国务院令第709号修订）第五十七条：县级以上人民政府及其社会救助管理部门应当加强对社会救助工作的监督检查，完善相关监督管理制度。</w:t>
            </w:r>
          </w:p>
        </w:tc>
        <w:tc>
          <w:tcPr>
            <w:tcW w:w="403" w:type="dxa"/>
            <w:tcBorders>
              <w:top w:val="single" w:color="000000" w:sz="4" w:space="0"/>
              <w:left w:val="single" w:color="000000" w:sz="4" w:space="0"/>
              <w:right w:val="single" w:color="000000" w:sz="4" w:space="0"/>
            </w:tcBorders>
            <w:noWrap w:val="0"/>
            <w:vAlign w:val="center"/>
          </w:tcPr>
          <w:p w14:paraId="166177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571" w:type="dxa"/>
            <w:tcBorders>
              <w:top w:val="single" w:color="000000" w:sz="4" w:space="0"/>
              <w:left w:val="single" w:color="000000" w:sz="4" w:space="0"/>
              <w:right w:val="single" w:color="000000" w:sz="4" w:space="0"/>
            </w:tcBorders>
            <w:noWrap w:val="0"/>
            <w:vAlign w:val="center"/>
          </w:tcPr>
          <w:p w14:paraId="007CFE5A">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按照属地监管原则，负责对本市行政区域内纳入医疗保障基金支付范围的医疗服务行为和医疗费用及医保经办业务开展监督检查</w:t>
            </w:r>
          </w:p>
        </w:tc>
        <w:tc>
          <w:tcPr>
            <w:tcW w:w="3587" w:type="dxa"/>
            <w:tcBorders>
              <w:top w:val="single" w:color="000000" w:sz="4" w:space="0"/>
              <w:left w:val="single" w:color="000000" w:sz="4" w:space="0"/>
              <w:right w:val="single" w:color="000000" w:sz="4" w:space="0"/>
            </w:tcBorders>
            <w:noWrap w:val="0"/>
            <w:vAlign w:val="center"/>
          </w:tcPr>
          <w:p w14:paraId="5ECE61D2">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1.通过组织开展市内交叉检查、专项检查、违法线索核查等形式进行监督检查。</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2.加强与相关主管部门的沟通协调，通过开</w:t>
            </w:r>
            <w:r>
              <w:rPr>
                <w:rFonts w:hint="eastAsia" w:ascii="宋体" w:hAnsi="宋体" w:eastAsia="宋体" w:cs="宋体"/>
                <w:i w:val="0"/>
                <w:iCs w:val="0"/>
                <w:color w:val="auto"/>
                <w:spacing w:val="-6"/>
                <w:kern w:val="0"/>
                <w:sz w:val="20"/>
                <w:szCs w:val="20"/>
                <w:u w:val="none"/>
                <w:lang w:val="en-US" w:eastAsia="zh-CN" w:bidi="ar"/>
              </w:rPr>
              <w:t>展部门联合、“双随机、一公开”等形式开展联合检查，避免多头执法、执法扰民等现象。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3.加强对县监督检查工作的指导、监督。</w:t>
            </w:r>
          </w:p>
        </w:tc>
        <w:tc>
          <w:tcPr>
            <w:tcW w:w="1695" w:type="dxa"/>
            <w:vMerge w:val="restart"/>
            <w:tcBorders>
              <w:top w:val="single" w:color="000000" w:sz="4" w:space="0"/>
              <w:left w:val="single" w:color="000000" w:sz="4" w:space="0"/>
              <w:bottom w:val="single" w:color="000000" w:sz="4" w:space="0"/>
              <w:right w:val="single" w:color="000000" w:sz="4" w:space="0"/>
            </w:tcBorders>
            <w:noWrap w:val="0"/>
            <w:vAlign w:val="center"/>
          </w:tcPr>
          <w:p w14:paraId="16499A36">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　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3E2B4664">
            <w:pPr>
              <w:rPr>
                <w:rFonts w:hint="eastAsia" w:ascii="宋体" w:hAnsi="宋体" w:eastAsia="宋体" w:cs="宋体"/>
                <w:i w:val="0"/>
                <w:iCs w:val="0"/>
                <w:color w:val="auto"/>
                <w:sz w:val="22"/>
                <w:szCs w:val="22"/>
                <w:u w:val="none"/>
              </w:rPr>
            </w:pPr>
          </w:p>
        </w:tc>
      </w:tr>
      <w:tr w14:paraId="09334C6D">
        <w:tblPrEx>
          <w:tblCellMar>
            <w:top w:w="0" w:type="dxa"/>
            <w:left w:w="57" w:type="dxa"/>
            <w:bottom w:w="0" w:type="dxa"/>
            <w:right w:w="57" w:type="dxa"/>
          </w:tblCellMar>
        </w:tblPrEx>
        <w:trPr>
          <w:trHeight w:val="2415" w:hRule="atLeast"/>
          <w:jc w:val="center"/>
        </w:trPr>
        <w:tc>
          <w:tcPr>
            <w:tcW w:w="4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27B2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2"/>
                <w:szCs w:val="22"/>
                <w:u w:val="none"/>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41CE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2"/>
                <w:szCs w:val="22"/>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0F67C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auto"/>
                <w:sz w:val="22"/>
                <w:szCs w:val="22"/>
                <w:u w:val="none"/>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F8F0C8">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3D766">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auto"/>
                <w:sz w:val="22"/>
                <w:szCs w:val="22"/>
                <w:u w:val="none"/>
              </w:rPr>
            </w:pPr>
          </w:p>
        </w:tc>
        <w:tc>
          <w:tcPr>
            <w:tcW w:w="36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7C8633">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auto"/>
                <w:sz w:val="22"/>
                <w:szCs w:val="22"/>
                <w:u w:val="none"/>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777DFD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县</w:t>
            </w:r>
          </w:p>
        </w:tc>
        <w:tc>
          <w:tcPr>
            <w:tcW w:w="1571" w:type="dxa"/>
            <w:tcBorders>
              <w:top w:val="single" w:color="000000" w:sz="4" w:space="0"/>
              <w:left w:val="single" w:color="000000" w:sz="4" w:space="0"/>
              <w:bottom w:val="single" w:color="000000" w:sz="4" w:space="0"/>
              <w:right w:val="single" w:color="000000" w:sz="4" w:space="0"/>
            </w:tcBorders>
            <w:noWrap w:val="0"/>
            <w:vAlign w:val="center"/>
          </w:tcPr>
          <w:p w14:paraId="7E9A18C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按照属地监管原则，负责对本县行政区域内纳入医疗保障基金支付范围的医疗服务行为和医疗费用及医保经办业务开展监督检查</w:t>
            </w:r>
          </w:p>
        </w:tc>
        <w:tc>
          <w:tcPr>
            <w:tcW w:w="3587" w:type="dxa"/>
            <w:tcBorders>
              <w:top w:val="single" w:color="000000" w:sz="4" w:space="0"/>
              <w:left w:val="single" w:color="000000" w:sz="4" w:space="0"/>
              <w:bottom w:val="single" w:color="000000" w:sz="4" w:space="0"/>
              <w:right w:val="single" w:color="000000" w:sz="4" w:space="0"/>
            </w:tcBorders>
            <w:noWrap w:val="0"/>
            <w:vAlign w:val="center"/>
          </w:tcPr>
          <w:p w14:paraId="1E40E48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黑体" w:hAnsi="宋体" w:eastAsia="黑体" w:cs="黑体"/>
                <w:i w:val="0"/>
                <w:iCs w:val="0"/>
                <w:color w:val="auto"/>
                <w:kern w:val="0"/>
                <w:sz w:val="20"/>
                <w:szCs w:val="20"/>
                <w:u w:val="none"/>
                <w:lang w:val="en-US" w:eastAsia="zh-CN" w:bidi="ar"/>
              </w:rPr>
              <w:t>直接实施责任：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1.通过专项检查、线索核查、“双随机、一公开”抽查等形式进行监督检查。</w:t>
            </w:r>
          </w:p>
        </w:tc>
        <w:tc>
          <w:tcPr>
            <w:tcW w:w="16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27C9CB">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auto"/>
                <w:sz w:val="22"/>
                <w:szCs w:val="22"/>
                <w:u w:val="none"/>
              </w:rPr>
            </w:pPr>
          </w:p>
        </w:tc>
        <w:tc>
          <w:tcPr>
            <w:tcW w:w="578" w:type="dxa"/>
            <w:tcBorders>
              <w:top w:val="single" w:color="000000" w:sz="4" w:space="0"/>
              <w:left w:val="single" w:color="000000" w:sz="4" w:space="0"/>
              <w:bottom w:val="single" w:color="000000" w:sz="4" w:space="0"/>
              <w:right w:val="single" w:color="000000" w:sz="4" w:space="0"/>
            </w:tcBorders>
            <w:noWrap w:val="0"/>
            <w:vAlign w:val="center"/>
          </w:tcPr>
          <w:p w14:paraId="0D37A674">
            <w:pPr>
              <w:rPr>
                <w:rFonts w:hint="eastAsia" w:ascii="宋体" w:hAnsi="宋体" w:eastAsia="宋体" w:cs="宋体"/>
                <w:i w:val="0"/>
                <w:iCs w:val="0"/>
                <w:color w:val="auto"/>
                <w:sz w:val="22"/>
                <w:szCs w:val="22"/>
                <w:u w:val="none"/>
              </w:rPr>
            </w:pPr>
          </w:p>
        </w:tc>
      </w:tr>
    </w:tbl>
    <w:p w14:paraId="7F6B43C2">
      <w:pPr>
        <w:rPr>
          <w:rFonts w:hint="eastAsia" w:ascii="方正小标宋简体" w:hAnsi="方正小标宋简体" w:eastAsia="方正小标宋简体" w:cs="方正小标宋简体"/>
          <w:i w:val="0"/>
          <w:iCs w:val="0"/>
          <w:color w:val="auto"/>
          <w:kern w:val="0"/>
          <w:sz w:val="44"/>
          <w:szCs w:val="44"/>
          <w:u w:val="none"/>
          <w:lang w:val="en-US" w:eastAsia="zh-CN" w:bidi="ar"/>
        </w:rPr>
      </w:pPr>
      <w:r>
        <w:rPr>
          <w:rFonts w:hint="eastAsia" w:ascii="方正小标宋简体" w:hAnsi="方正小标宋简体" w:eastAsia="方正小标宋简体" w:cs="方正小标宋简体"/>
          <w:i w:val="0"/>
          <w:iCs w:val="0"/>
          <w:color w:val="auto"/>
          <w:kern w:val="0"/>
          <w:sz w:val="44"/>
          <w:szCs w:val="44"/>
          <w:u w:val="none"/>
          <w:lang w:val="en-US" w:eastAsia="zh-CN" w:bidi="ar"/>
        </w:rPr>
        <w:br w:type="page"/>
      </w:r>
    </w:p>
    <w:p w14:paraId="6D8BBDFD">
      <w:pPr>
        <w:keepNext w:val="0"/>
        <w:keepLines w:val="0"/>
        <w:pageBreakBefore w:val="0"/>
        <w:widowControl w:val="0"/>
        <w:numPr>
          <w:ilvl w:val="0"/>
          <w:numId w:val="0"/>
        </w:numPr>
        <w:kinsoku/>
        <w:wordWrap/>
        <w:overflowPunct/>
        <w:topLinePunct w:val="0"/>
        <w:autoSpaceDE/>
        <w:autoSpaceDN/>
        <w:bidi w:val="0"/>
        <w:adjustRightInd/>
        <w:snapToGrid/>
        <w:spacing w:before="159" w:beforeLines="50" w:after="159" w:afterLines="50" w:line="590" w:lineRule="exact"/>
        <w:jc w:val="center"/>
        <w:textAlignment w:val="auto"/>
        <w:rPr>
          <w:rFonts w:hint="eastAsia" w:ascii="方正小标宋简体" w:hAnsi="方正小标宋简体" w:eastAsia="方正小标宋简体" w:cs="方正小标宋简体"/>
          <w:i w:val="0"/>
          <w:iCs w:val="0"/>
          <w:color w:val="auto"/>
          <w:kern w:val="0"/>
          <w:sz w:val="44"/>
          <w:szCs w:val="44"/>
          <w:u w:val="none"/>
          <w:lang w:val="en-US" w:eastAsia="zh-CN" w:bidi="ar"/>
        </w:rPr>
      </w:pPr>
      <w:r>
        <w:rPr>
          <w:rFonts w:hint="eastAsia" w:ascii="方正小标宋简体" w:hAnsi="方正小标宋简体" w:eastAsia="方正小标宋简体" w:cs="方正小标宋简体"/>
          <w:i w:val="0"/>
          <w:iCs w:val="0"/>
          <w:color w:val="auto"/>
          <w:kern w:val="0"/>
          <w:sz w:val="44"/>
          <w:szCs w:val="44"/>
          <w:u w:val="none"/>
          <w:lang w:val="en-US" w:eastAsia="zh-CN" w:bidi="ar"/>
        </w:rPr>
        <w:t>枣庄市医疗保障系统权责清单（行政奖励）</w:t>
      </w:r>
    </w:p>
    <w:tbl>
      <w:tblPr>
        <w:tblStyle w:val="12"/>
        <w:tblpPr w:leftFromText="181" w:rightFromText="181" w:vertAnchor="text" w:horzAnchor="page" w:tblpXSpec="center" w:tblpY="1"/>
        <w:tblOverlap w:val="never"/>
        <w:tblW w:w="15247" w:type="dxa"/>
        <w:jc w:val="center"/>
        <w:tblLayout w:type="fixed"/>
        <w:tblCellMar>
          <w:top w:w="0" w:type="dxa"/>
          <w:left w:w="57" w:type="dxa"/>
          <w:bottom w:w="0" w:type="dxa"/>
          <w:right w:w="57" w:type="dxa"/>
        </w:tblCellMar>
      </w:tblPr>
      <w:tblGrid>
        <w:gridCol w:w="347"/>
        <w:gridCol w:w="1233"/>
        <w:gridCol w:w="817"/>
        <w:gridCol w:w="750"/>
        <w:gridCol w:w="600"/>
        <w:gridCol w:w="3667"/>
        <w:gridCol w:w="400"/>
        <w:gridCol w:w="1583"/>
        <w:gridCol w:w="3583"/>
        <w:gridCol w:w="1684"/>
        <w:gridCol w:w="583"/>
      </w:tblGrid>
      <w:tr w14:paraId="2173707F">
        <w:tblPrEx>
          <w:tblCellMar>
            <w:top w:w="0" w:type="dxa"/>
            <w:left w:w="57" w:type="dxa"/>
            <w:bottom w:w="0" w:type="dxa"/>
            <w:right w:w="57" w:type="dxa"/>
          </w:tblCellMar>
        </w:tblPrEx>
        <w:trPr>
          <w:trHeight w:val="363" w:hRule="atLeast"/>
          <w:jc w:val="center"/>
        </w:trPr>
        <w:tc>
          <w:tcPr>
            <w:tcW w:w="3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E8E6707">
            <w:pPr>
              <w:jc w:val="center"/>
              <w:rPr>
                <w:rFonts w:ascii="黑体" w:hAnsi="宋体" w:eastAsia="黑体" w:cs="黑体"/>
                <w:i w:val="0"/>
                <w:iCs w:val="0"/>
                <w:color w:val="auto"/>
                <w:sz w:val="22"/>
                <w:szCs w:val="22"/>
                <w:u w:val="none"/>
              </w:rPr>
            </w:pPr>
            <w:r>
              <w:rPr>
                <w:rFonts w:hint="eastAsia" w:ascii="方正小标宋简体" w:hAnsi="方正小标宋简体" w:eastAsia="方正小标宋简体" w:cs="方正小标宋简体"/>
                <w:i w:val="0"/>
                <w:iCs w:val="0"/>
                <w:color w:val="auto"/>
                <w:kern w:val="0"/>
                <w:sz w:val="22"/>
                <w:szCs w:val="22"/>
                <w:u w:val="none"/>
                <w:lang w:val="en-US" w:eastAsia="zh-CN" w:bidi="ar"/>
              </w:rPr>
              <w:br w:type="page"/>
            </w:r>
            <w:r>
              <w:rPr>
                <w:rFonts w:hint="eastAsia" w:ascii="黑体" w:hAnsi="宋体" w:eastAsia="黑体" w:cs="黑体"/>
                <w:i w:val="0"/>
                <w:iCs w:val="0"/>
                <w:color w:val="auto"/>
                <w:kern w:val="0"/>
                <w:sz w:val="22"/>
                <w:szCs w:val="22"/>
                <w:u w:val="none"/>
                <w:lang w:val="en-US" w:eastAsia="zh-CN" w:bidi="ar"/>
              </w:rPr>
              <w:t>序</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号</w:t>
            </w:r>
          </w:p>
        </w:tc>
        <w:tc>
          <w:tcPr>
            <w:tcW w:w="1233" w:type="dxa"/>
            <w:vMerge w:val="restart"/>
            <w:tcBorders>
              <w:top w:val="single" w:color="000000" w:sz="4" w:space="0"/>
              <w:left w:val="single" w:color="000000" w:sz="4" w:space="0"/>
              <w:bottom w:val="single" w:color="000000" w:sz="4" w:space="0"/>
              <w:right w:val="single" w:color="000000" w:sz="4" w:space="0"/>
            </w:tcBorders>
            <w:noWrap w:val="0"/>
            <w:vAlign w:val="center"/>
          </w:tcPr>
          <w:p w14:paraId="3C37C3AC">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部门</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职责</w:t>
            </w:r>
          </w:p>
        </w:tc>
        <w:tc>
          <w:tcPr>
            <w:tcW w:w="81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FCE1DD">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名称</w:t>
            </w:r>
          </w:p>
        </w:tc>
        <w:tc>
          <w:tcPr>
            <w:tcW w:w="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4B43C26">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事项</w:t>
            </w:r>
          </w:p>
          <w:p w14:paraId="7C1694F1">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编码</w:t>
            </w: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645E53">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类型</w:t>
            </w:r>
          </w:p>
        </w:tc>
        <w:tc>
          <w:tcPr>
            <w:tcW w:w="3667" w:type="dxa"/>
            <w:vMerge w:val="restart"/>
            <w:tcBorders>
              <w:top w:val="single" w:color="000000" w:sz="4" w:space="0"/>
              <w:left w:val="single" w:color="000000" w:sz="4" w:space="0"/>
              <w:bottom w:val="single" w:color="000000" w:sz="4" w:space="0"/>
              <w:right w:val="single" w:color="000000" w:sz="4" w:space="0"/>
            </w:tcBorders>
            <w:noWrap w:val="0"/>
            <w:vAlign w:val="center"/>
          </w:tcPr>
          <w:p w14:paraId="65B636E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设定、行使依据及</w:t>
            </w:r>
          </w:p>
          <w:p w14:paraId="33341C37">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有关条款</w:t>
            </w:r>
          </w:p>
        </w:tc>
        <w:tc>
          <w:tcPr>
            <w:tcW w:w="198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9B98268">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实施层级及权限</w:t>
            </w:r>
          </w:p>
        </w:tc>
        <w:tc>
          <w:tcPr>
            <w:tcW w:w="3583" w:type="dxa"/>
            <w:vMerge w:val="restart"/>
            <w:tcBorders>
              <w:top w:val="single" w:color="000000" w:sz="4" w:space="0"/>
              <w:left w:val="single" w:color="000000" w:sz="4" w:space="0"/>
              <w:bottom w:val="single" w:color="000000" w:sz="4" w:space="0"/>
              <w:right w:val="single" w:color="000000" w:sz="4" w:space="0"/>
            </w:tcBorders>
            <w:noWrap w:val="0"/>
            <w:vAlign w:val="center"/>
          </w:tcPr>
          <w:p w14:paraId="4A844714">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对应责任事项</w:t>
            </w:r>
          </w:p>
        </w:tc>
        <w:tc>
          <w:tcPr>
            <w:tcW w:w="1684" w:type="dxa"/>
            <w:vMerge w:val="restart"/>
            <w:tcBorders>
              <w:top w:val="single" w:color="000000" w:sz="4" w:space="0"/>
              <w:left w:val="single" w:color="000000" w:sz="4" w:space="0"/>
              <w:bottom w:val="single" w:color="000000" w:sz="4" w:space="0"/>
              <w:right w:val="single" w:color="000000" w:sz="4" w:space="0"/>
            </w:tcBorders>
            <w:noWrap w:val="0"/>
            <w:vAlign w:val="center"/>
          </w:tcPr>
          <w:p w14:paraId="29EEBD2A">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追责情形及依据</w:t>
            </w:r>
          </w:p>
        </w:tc>
        <w:tc>
          <w:tcPr>
            <w:tcW w:w="583" w:type="dxa"/>
            <w:vMerge w:val="restart"/>
            <w:tcBorders>
              <w:top w:val="single" w:color="000000" w:sz="4" w:space="0"/>
              <w:left w:val="nil"/>
              <w:bottom w:val="single" w:color="000000" w:sz="4" w:space="0"/>
              <w:right w:val="single" w:color="000000" w:sz="4" w:space="0"/>
            </w:tcBorders>
            <w:noWrap w:val="0"/>
            <w:vAlign w:val="center"/>
          </w:tcPr>
          <w:p w14:paraId="7E91A7BC">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黑体" w:hAnsi="宋体" w:eastAsia="黑体" w:cs="黑体"/>
                <w:i w:val="0"/>
                <w:iCs w:val="0"/>
                <w:color w:val="auto"/>
                <w:sz w:val="22"/>
                <w:szCs w:val="22"/>
                <w:u w:val="none"/>
              </w:rPr>
            </w:pPr>
            <w:r>
              <w:rPr>
                <w:rFonts w:hint="eastAsia" w:ascii="黑体" w:hAnsi="宋体" w:eastAsia="黑体" w:cs="黑体"/>
                <w:i w:val="0"/>
                <w:iCs w:val="0"/>
                <w:color w:val="auto"/>
                <w:kern w:val="0"/>
                <w:sz w:val="22"/>
                <w:szCs w:val="22"/>
                <w:u w:val="none"/>
                <w:lang w:val="en-US" w:eastAsia="zh-CN" w:bidi="ar"/>
              </w:rPr>
              <w:t>备注</w:t>
            </w:r>
          </w:p>
        </w:tc>
      </w:tr>
      <w:tr w14:paraId="66CD597B">
        <w:tblPrEx>
          <w:tblCellMar>
            <w:top w:w="0" w:type="dxa"/>
            <w:left w:w="57" w:type="dxa"/>
            <w:bottom w:w="0" w:type="dxa"/>
            <w:right w:w="57" w:type="dxa"/>
          </w:tblCellMar>
        </w:tblPrEx>
        <w:trPr>
          <w:trHeight w:val="419" w:hRule="atLeast"/>
          <w:jc w:val="center"/>
        </w:trPr>
        <w:tc>
          <w:tcPr>
            <w:tcW w:w="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985F7">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12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276A9D">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8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1E8A79">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34524">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05E7E9">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3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66D421">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198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D690CA">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35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61252D">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16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B2952">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c>
          <w:tcPr>
            <w:tcW w:w="583" w:type="dxa"/>
            <w:vMerge w:val="continue"/>
            <w:tcBorders>
              <w:top w:val="single" w:color="000000" w:sz="4" w:space="0"/>
              <w:left w:val="nil"/>
              <w:bottom w:val="single" w:color="000000" w:sz="4" w:space="0"/>
              <w:right w:val="single" w:color="000000" w:sz="4" w:space="0"/>
            </w:tcBorders>
            <w:noWrap w:val="0"/>
            <w:vAlign w:val="center"/>
          </w:tcPr>
          <w:p w14:paraId="6F0D2DD7">
            <w:pPr>
              <w:keepNext w:val="0"/>
              <w:keepLines w:val="0"/>
              <w:pageBreakBefore w:val="0"/>
              <w:widowControl/>
              <w:kinsoku/>
              <w:wordWrap/>
              <w:overflowPunct/>
              <w:topLinePunct w:val="0"/>
              <w:autoSpaceDE/>
              <w:autoSpaceDN/>
              <w:bidi w:val="0"/>
              <w:adjustRightInd/>
              <w:snapToGrid/>
              <w:spacing w:line="270" w:lineRule="exact"/>
              <w:jc w:val="center"/>
              <w:rPr>
                <w:rFonts w:hint="eastAsia" w:ascii="黑体" w:hAnsi="宋体" w:eastAsia="黑体" w:cs="黑体"/>
                <w:i w:val="0"/>
                <w:iCs w:val="0"/>
                <w:color w:val="auto"/>
                <w:sz w:val="22"/>
                <w:szCs w:val="22"/>
                <w:u w:val="none"/>
              </w:rPr>
            </w:pPr>
          </w:p>
        </w:tc>
      </w:tr>
      <w:tr w14:paraId="4029C4A5">
        <w:tblPrEx>
          <w:tblCellMar>
            <w:top w:w="0" w:type="dxa"/>
            <w:left w:w="57" w:type="dxa"/>
            <w:bottom w:w="0" w:type="dxa"/>
            <w:right w:w="57" w:type="dxa"/>
          </w:tblCellMar>
        </w:tblPrEx>
        <w:trPr>
          <w:trHeight w:val="2762" w:hRule="atLeast"/>
          <w:jc w:val="center"/>
        </w:trPr>
        <w:tc>
          <w:tcPr>
            <w:tcW w:w="34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661D3F">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23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B291E2">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拟订全省医疗保障基金监督管理办法并组织实施，建立健全医疗保障基金安全防控机制，建立健全医疗保障信用评价体系和信息披露制度。监督管理纳入医保支付范围的医疗服务行为和医疗费用，规范医保经办业务，依法查处医疗保障领域违法违规行为。</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225B39">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对违法违规使用医疗保障基金举报的奖励</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0A59A6">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3700000836001</w:t>
            </w: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B64797">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行政奖励</w:t>
            </w:r>
          </w:p>
        </w:tc>
        <w:tc>
          <w:tcPr>
            <w:tcW w:w="3667" w:type="dxa"/>
            <w:vMerge w:val="restart"/>
            <w:tcBorders>
              <w:top w:val="single" w:color="000000" w:sz="4" w:space="0"/>
              <w:left w:val="single" w:color="000000" w:sz="4" w:space="0"/>
              <w:bottom w:val="single" w:color="000000" w:sz="4" w:space="0"/>
              <w:right w:val="single" w:color="000000" w:sz="4" w:space="0"/>
            </w:tcBorders>
            <w:noWrap w:val="0"/>
            <w:vAlign w:val="center"/>
          </w:tcPr>
          <w:p w14:paraId="3877E93F">
            <w:pPr>
              <w:keepNext w:val="0"/>
              <w:keepLines w:val="0"/>
              <w:pageBreakBefore w:val="0"/>
              <w:widowControl/>
              <w:suppressLineNumbers w:val="0"/>
              <w:kinsoku/>
              <w:wordWrap/>
              <w:overflowPunct/>
              <w:topLinePunct w:val="0"/>
              <w:autoSpaceDE/>
              <w:autoSpaceDN/>
              <w:bidi w:val="0"/>
              <w:adjustRightInd/>
              <w:snapToGrid/>
              <w:spacing w:line="270" w:lineRule="exact"/>
              <w:ind w:left="42" w:leftChars="20" w:right="42" w:rightChars="2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行政法规】《医疗保障基金使用监督管理条例》（2021年1月国务院令第735号）第三十五条：任何组织和个人有权对侵害医疗保障基金的违法违规行为进行举报、投诉。医疗保障行政部门应当畅通举报投诉渠道，依法及时处理有关举报投诉，并对举报人的信息保密。对查证属实的举报，按照国家有关规定给予举报人奖励。</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部门规章】《山东省医疗保障基金监督管理办法》（2022年3月山东省人民政府令第345号）第二十九条：省、设区的市人民政府医疗保障行政部门应当建立医疗保障基金违法行为举报奖励制度，对实名举报并查证属实的，按照规定给予奖励。</w:t>
            </w:r>
          </w:p>
        </w:tc>
        <w:tc>
          <w:tcPr>
            <w:tcW w:w="400" w:type="dxa"/>
            <w:tcBorders>
              <w:top w:val="single" w:color="000000" w:sz="4" w:space="0"/>
              <w:left w:val="single" w:color="000000" w:sz="4" w:space="0"/>
              <w:right w:val="single" w:color="000000" w:sz="4" w:space="0"/>
            </w:tcBorders>
            <w:noWrap w:val="0"/>
            <w:vAlign w:val="center"/>
          </w:tcPr>
          <w:p w14:paraId="70111ABE">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583" w:type="dxa"/>
            <w:tcBorders>
              <w:top w:val="single" w:color="000000" w:sz="4" w:space="0"/>
              <w:left w:val="single" w:color="000000" w:sz="4" w:space="0"/>
              <w:right w:val="single" w:color="000000" w:sz="4" w:space="0"/>
            </w:tcBorders>
            <w:noWrap w:val="0"/>
            <w:vAlign w:val="center"/>
          </w:tcPr>
          <w:p w14:paraId="7B500D01">
            <w:pPr>
              <w:keepNext w:val="0"/>
              <w:keepLines w:val="0"/>
              <w:pageBreakBefore w:val="0"/>
              <w:widowControl/>
              <w:suppressLineNumbers w:val="0"/>
              <w:kinsoku/>
              <w:wordWrap/>
              <w:overflowPunct/>
              <w:topLinePunct w:val="0"/>
              <w:autoSpaceDE/>
              <w:autoSpaceDN/>
              <w:bidi w:val="0"/>
              <w:adjustRightInd/>
              <w:snapToGrid/>
              <w:spacing w:line="270" w:lineRule="exact"/>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负责对市级医保部门查处的违法违规使用医保基金行为相关举报人的奖励</w:t>
            </w:r>
          </w:p>
        </w:tc>
        <w:tc>
          <w:tcPr>
            <w:tcW w:w="3583" w:type="dxa"/>
            <w:tcBorders>
              <w:top w:val="single" w:color="000000" w:sz="4" w:space="0"/>
              <w:left w:val="single" w:color="000000" w:sz="4" w:space="0"/>
              <w:right w:val="single" w:color="000000" w:sz="4" w:space="0"/>
            </w:tcBorders>
            <w:noWrap w:val="0"/>
            <w:vAlign w:val="center"/>
          </w:tcPr>
          <w:p w14:paraId="7446CA79">
            <w:pPr>
              <w:keepNext w:val="0"/>
              <w:keepLines w:val="0"/>
              <w:pageBreakBefore w:val="0"/>
              <w:widowControl/>
              <w:suppressLineNumbers w:val="0"/>
              <w:kinsoku/>
              <w:wordWrap/>
              <w:overflowPunct/>
              <w:topLinePunct w:val="0"/>
              <w:autoSpaceDE/>
              <w:autoSpaceDN/>
              <w:bidi w:val="0"/>
              <w:adjustRightInd/>
              <w:snapToGrid/>
              <w:spacing w:line="270" w:lineRule="exact"/>
              <w:jc w:val="both"/>
              <w:textAlignment w:val="center"/>
              <w:rPr>
                <w:rFonts w:hint="default" w:ascii="CESI黑体-GB2312" w:hAnsi="CESI黑体-GB2312" w:eastAsia="CESI黑体-GB2312" w:cs="CESI黑体-GB2312"/>
                <w:i w:val="0"/>
                <w:iCs w:val="0"/>
                <w:color w:val="auto"/>
                <w:sz w:val="20"/>
                <w:szCs w:val="20"/>
                <w:u w:val="none"/>
              </w:rPr>
            </w:pPr>
            <w:r>
              <w:rPr>
                <w:rFonts w:hint="default" w:ascii="CESI黑体-GB2312" w:hAnsi="CESI黑体-GB2312" w:eastAsia="CESI黑体-GB2312" w:cs="CESI黑体-GB2312"/>
                <w:i w:val="0"/>
                <w:iCs w:val="0"/>
                <w:color w:val="auto"/>
                <w:kern w:val="0"/>
                <w:sz w:val="20"/>
                <w:szCs w:val="20"/>
                <w:u w:val="none"/>
                <w:lang w:val="en-US" w:eastAsia="zh-CN" w:bidi="ar"/>
              </w:rPr>
              <w:t>直接实施责任：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1.建立健全奖励政策，明确奖励标准、领取流程等内容。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2.依法依规实施本级奖励。</w:t>
            </w:r>
            <w:r>
              <w:rPr>
                <w:rFonts w:hint="eastAsia" w:ascii="宋体" w:hAnsi="宋体" w:eastAsia="宋体" w:cs="宋体"/>
                <w:i w:val="0"/>
                <w:iCs w:val="0"/>
                <w:color w:val="auto"/>
                <w:kern w:val="0"/>
                <w:sz w:val="20"/>
                <w:szCs w:val="20"/>
                <w:u w:val="none"/>
                <w:lang w:val="en-US" w:eastAsia="zh-CN" w:bidi="ar"/>
              </w:rPr>
              <w:br w:type="textWrapping"/>
            </w:r>
            <w:r>
              <w:rPr>
                <w:rStyle w:val="24"/>
                <w:color w:val="auto"/>
                <w:sz w:val="20"/>
                <w:szCs w:val="20"/>
                <w:lang w:val="en-US" w:eastAsia="zh-CN" w:bidi="ar"/>
              </w:rPr>
              <w:t>指导监督责任：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加强对县级医保部门查处的违法违规使用医保基金行为举报奖励工作的监督、指导。</w:t>
            </w:r>
          </w:p>
        </w:tc>
        <w:tc>
          <w:tcPr>
            <w:tcW w:w="1684" w:type="dxa"/>
            <w:vMerge w:val="restart"/>
            <w:tcBorders>
              <w:top w:val="single" w:color="000000" w:sz="4" w:space="0"/>
              <w:left w:val="single" w:color="000000" w:sz="4" w:space="0"/>
              <w:bottom w:val="single" w:color="000000" w:sz="4" w:space="0"/>
              <w:right w:val="single" w:color="000000" w:sz="4" w:space="0"/>
            </w:tcBorders>
            <w:noWrap w:val="0"/>
            <w:vAlign w:val="center"/>
          </w:tcPr>
          <w:p w14:paraId="2940BA73">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行政法规】《医疗保障基金使用监督管理条例》（2021年1月国务院令第735号）第四十七条：医疗保障等行政部门工作人员在医疗保障基金使用监督管理工作中滥用职权、玩忽职守、徇私舞弊的，依法给予处分。</w:t>
            </w:r>
          </w:p>
        </w:tc>
        <w:tc>
          <w:tcPr>
            <w:tcW w:w="583" w:type="dxa"/>
            <w:tcBorders>
              <w:top w:val="single" w:color="000000" w:sz="4" w:space="0"/>
              <w:left w:val="single" w:color="000000" w:sz="4" w:space="0"/>
              <w:bottom w:val="single" w:color="000000" w:sz="4" w:space="0"/>
              <w:right w:val="single" w:color="000000" w:sz="4" w:space="0"/>
            </w:tcBorders>
            <w:noWrap w:val="0"/>
            <w:vAlign w:val="center"/>
          </w:tcPr>
          <w:p w14:paraId="3C5C3F76">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r w14:paraId="7E43186E">
        <w:tblPrEx>
          <w:tblCellMar>
            <w:top w:w="0" w:type="dxa"/>
            <w:left w:w="57" w:type="dxa"/>
            <w:bottom w:w="0" w:type="dxa"/>
            <w:right w:w="57" w:type="dxa"/>
          </w:tblCellMar>
        </w:tblPrEx>
        <w:trPr>
          <w:trHeight w:val="1400" w:hRule="atLeast"/>
          <w:jc w:val="center"/>
        </w:trPr>
        <w:tc>
          <w:tcPr>
            <w:tcW w:w="3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20E81">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123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34CF3">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5398D">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EAB43">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CD7E27">
            <w:pPr>
              <w:keepNext w:val="0"/>
              <w:keepLines w:val="0"/>
              <w:pageBreakBefore w:val="0"/>
              <w:widowControl/>
              <w:kinsoku/>
              <w:wordWrap/>
              <w:overflowPunct/>
              <w:topLinePunct w:val="0"/>
              <w:autoSpaceDE/>
              <w:autoSpaceDN/>
              <w:bidi w:val="0"/>
              <w:adjustRightInd/>
              <w:snapToGrid/>
              <w:spacing w:line="270" w:lineRule="exact"/>
              <w:jc w:val="center"/>
              <w:rPr>
                <w:rFonts w:hint="eastAsia" w:ascii="宋体" w:hAnsi="宋体" w:eastAsia="宋体" w:cs="宋体"/>
                <w:i w:val="0"/>
                <w:iCs w:val="0"/>
                <w:color w:val="auto"/>
                <w:sz w:val="20"/>
                <w:szCs w:val="20"/>
                <w:u w:val="none"/>
              </w:rPr>
            </w:pPr>
          </w:p>
        </w:tc>
        <w:tc>
          <w:tcPr>
            <w:tcW w:w="3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F68346">
            <w:pPr>
              <w:keepNext w:val="0"/>
              <w:keepLines w:val="0"/>
              <w:pageBreakBefore w:val="0"/>
              <w:widowControl/>
              <w:kinsoku/>
              <w:wordWrap/>
              <w:overflowPunct/>
              <w:topLinePunct w:val="0"/>
              <w:autoSpaceDE/>
              <w:autoSpaceDN/>
              <w:bidi w:val="0"/>
              <w:adjustRightInd/>
              <w:snapToGrid/>
              <w:spacing w:line="270" w:lineRule="exact"/>
              <w:jc w:val="left"/>
              <w:rPr>
                <w:rFonts w:hint="eastAsia" w:ascii="宋体" w:hAnsi="宋体" w:eastAsia="宋体" w:cs="宋体"/>
                <w:i w:val="0"/>
                <w:iCs w:val="0"/>
                <w:color w:val="auto"/>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noWrap w:val="0"/>
            <w:vAlign w:val="center"/>
          </w:tcPr>
          <w:p w14:paraId="04599EF2">
            <w:pPr>
              <w:keepNext w:val="0"/>
              <w:keepLines w:val="0"/>
              <w:pageBreakBefore w:val="0"/>
              <w:widowControl/>
              <w:suppressLineNumbers w:val="0"/>
              <w:kinsoku/>
              <w:wordWrap/>
              <w:overflowPunct/>
              <w:topLinePunct w:val="0"/>
              <w:autoSpaceDE/>
              <w:autoSpaceDN/>
              <w:bidi w:val="0"/>
              <w:adjustRightInd/>
              <w:snapToGrid/>
              <w:spacing w:line="27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583" w:type="dxa"/>
            <w:tcBorders>
              <w:top w:val="single" w:color="000000" w:sz="4" w:space="0"/>
              <w:left w:val="single" w:color="000000" w:sz="4" w:space="0"/>
              <w:bottom w:val="single" w:color="000000" w:sz="4" w:space="0"/>
              <w:right w:val="single" w:color="000000" w:sz="4" w:space="0"/>
            </w:tcBorders>
            <w:noWrap w:val="0"/>
            <w:vAlign w:val="center"/>
          </w:tcPr>
          <w:p w14:paraId="6F0DC769">
            <w:pPr>
              <w:keepNext w:val="0"/>
              <w:keepLines w:val="0"/>
              <w:pageBreakBefore w:val="0"/>
              <w:widowControl/>
              <w:suppressLineNumbers w:val="0"/>
              <w:kinsoku/>
              <w:wordWrap/>
              <w:overflowPunct/>
              <w:topLinePunct w:val="0"/>
              <w:autoSpaceDE/>
              <w:autoSpaceDN/>
              <w:bidi w:val="0"/>
              <w:adjustRightInd/>
              <w:snapToGrid/>
              <w:spacing w:line="270" w:lineRule="exact"/>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负责对县级医保部门查处的违法违规使用医保基金行为相关举报人的奖励</w:t>
            </w:r>
          </w:p>
        </w:tc>
        <w:tc>
          <w:tcPr>
            <w:tcW w:w="3583" w:type="dxa"/>
            <w:tcBorders>
              <w:top w:val="single" w:color="000000" w:sz="4" w:space="0"/>
              <w:left w:val="single" w:color="000000" w:sz="4" w:space="0"/>
              <w:bottom w:val="single" w:color="000000" w:sz="4" w:space="0"/>
              <w:right w:val="single" w:color="000000" w:sz="4" w:space="0"/>
            </w:tcBorders>
            <w:noWrap w:val="0"/>
            <w:vAlign w:val="center"/>
          </w:tcPr>
          <w:p w14:paraId="16040D10">
            <w:pPr>
              <w:keepNext w:val="0"/>
              <w:keepLines w:val="0"/>
              <w:pageBreakBefore w:val="0"/>
              <w:widowControl/>
              <w:suppressLineNumbers w:val="0"/>
              <w:kinsoku/>
              <w:wordWrap/>
              <w:overflowPunct/>
              <w:topLinePunct w:val="0"/>
              <w:autoSpaceDE/>
              <w:autoSpaceDN/>
              <w:bidi w:val="0"/>
              <w:adjustRightInd/>
              <w:snapToGrid/>
              <w:spacing w:line="270" w:lineRule="exact"/>
              <w:jc w:val="both"/>
              <w:textAlignment w:val="center"/>
              <w:rPr>
                <w:rFonts w:hint="default" w:ascii="CESI黑体-GB2312" w:hAnsi="CESI黑体-GB2312" w:eastAsia="CESI黑体-GB2312" w:cs="CESI黑体-GB2312"/>
                <w:i w:val="0"/>
                <w:iCs w:val="0"/>
                <w:color w:val="auto"/>
                <w:sz w:val="20"/>
                <w:szCs w:val="20"/>
                <w:u w:val="none"/>
              </w:rPr>
            </w:pPr>
            <w:r>
              <w:rPr>
                <w:rFonts w:hint="default" w:ascii="CESI黑体-GB2312" w:hAnsi="CESI黑体-GB2312" w:eastAsia="CESI黑体-GB2312" w:cs="CESI黑体-GB2312"/>
                <w:i w:val="0"/>
                <w:iCs w:val="0"/>
                <w:color w:val="auto"/>
                <w:kern w:val="0"/>
                <w:sz w:val="20"/>
                <w:szCs w:val="20"/>
                <w:u w:val="none"/>
                <w:lang w:val="en-US" w:eastAsia="zh-CN" w:bidi="ar"/>
              </w:rPr>
              <w:t>直接实施责任：</w:t>
            </w:r>
            <w:r>
              <w:rPr>
                <w:rFonts w:hint="eastAsia" w:ascii="宋体" w:hAnsi="宋体" w:eastAsia="宋体" w:cs="宋体"/>
                <w:i w:val="0"/>
                <w:iCs w:val="0"/>
                <w:color w:val="auto"/>
                <w:kern w:val="0"/>
                <w:sz w:val="20"/>
                <w:szCs w:val="20"/>
                <w:u w:val="none"/>
                <w:lang w:val="en-US" w:eastAsia="zh-CN" w:bidi="ar"/>
              </w:rPr>
              <w:br w:type="textWrapping"/>
            </w:r>
            <w:r>
              <w:rPr>
                <w:rStyle w:val="25"/>
                <w:rFonts w:hAnsi="CESI黑体-GB2312"/>
                <w:color w:val="auto"/>
                <w:sz w:val="20"/>
                <w:szCs w:val="20"/>
                <w:lang w:val="en-US" w:eastAsia="zh-CN" w:bidi="ar"/>
              </w:rPr>
              <w:t>1</w:t>
            </w:r>
            <w:r>
              <w:rPr>
                <w:rFonts w:hint="eastAsia" w:ascii="宋体" w:hAnsi="宋体" w:eastAsia="宋体" w:cs="宋体"/>
                <w:i w:val="0"/>
                <w:iCs w:val="0"/>
                <w:color w:val="auto"/>
                <w:kern w:val="0"/>
                <w:sz w:val="20"/>
                <w:szCs w:val="20"/>
                <w:u w:val="none"/>
                <w:lang w:val="en-US" w:eastAsia="zh-CN" w:bidi="ar"/>
              </w:rPr>
              <w:t>.</w:t>
            </w:r>
            <w:r>
              <w:rPr>
                <w:rFonts w:hint="default" w:ascii="CESI黑体-GB2312" w:hAnsi="CESI黑体-GB2312" w:eastAsia="CESI黑体-GB2312" w:cs="CESI黑体-GB2312"/>
                <w:i w:val="0"/>
                <w:iCs w:val="0"/>
                <w:color w:val="auto"/>
                <w:kern w:val="0"/>
                <w:sz w:val="20"/>
                <w:szCs w:val="20"/>
                <w:u w:val="none"/>
                <w:lang w:val="en-US" w:eastAsia="zh-CN" w:bidi="ar"/>
              </w:rPr>
              <w:t>落实</w:t>
            </w:r>
            <w:r>
              <w:rPr>
                <w:rFonts w:hint="eastAsia" w:ascii="宋体" w:hAnsi="宋体" w:eastAsia="宋体" w:cs="宋体"/>
                <w:i w:val="0"/>
                <w:iCs w:val="0"/>
                <w:color w:val="auto"/>
                <w:kern w:val="0"/>
                <w:sz w:val="20"/>
                <w:szCs w:val="20"/>
                <w:u w:val="none"/>
                <w:lang w:val="en-US" w:eastAsia="zh-CN" w:bidi="ar"/>
              </w:rPr>
              <w:t>奖励政策，明确奖励标准、领取流程等内容。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2.依法依规实施本级奖励。</w:t>
            </w:r>
          </w:p>
        </w:tc>
        <w:tc>
          <w:tcPr>
            <w:tcW w:w="16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6E339C">
            <w:pPr>
              <w:keepNext w:val="0"/>
              <w:keepLines w:val="0"/>
              <w:pageBreakBefore w:val="0"/>
              <w:widowControl/>
              <w:kinsoku/>
              <w:wordWrap/>
              <w:overflowPunct/>
              <w:topLinePunct w:val="0"/>
              <w:autoSpaceDE/>
              <w:autoSpaceDN/>
              <w:bidi w:val="0"/>
              <w:adjustRightInd/>
              <w:snapToGrid/>
              <w:spacing w:line="270" w:lineRule="exact"/>
              <w:jc w:val="both"/>
              <w:rPr>
                <w:rFonts w:hint="eastAsia" w:ascii="宋体" w:hAnsi="宋体" w:eastAsia="宋体" w:cs="宋体"/>
                <w:i w:val="0"/>
                <w:iCs w:val="0"/>
                <w:color w:val="auto"/>
                <w:sz w:val="20"/>
                <w:szCs w:val="20"/>
                <w:u w:val="none"/>
              </w:rPr>
            </w:pPr>
          </w:p>
        </w:tc>
        <w:tc>
          <w:tcPr>
            <w:tcW w:w="583" w:type="dxa"/>
            <w:tcBorders>
              <w:top w:val="single" w:color="000000" w:sz="4" w:space="0"/>
              <w:left w:val="single" w:color="000000" w:sz="4" w:space="0"/>
              <w:bottom w:val="single" w:color="000000" w:sz="4" w:space="0"/>
              <w:right w:val="single" w:color="000000" w:sz="4" w:space="0"/>
            </w:tcBorders>
            <w:noWrap w:val="0"/>
            <w:vAlign w:val="center"/>
          </w:tcPr>
          <w:p w14:paraId="3B1C1EE7">
            <w:pPr>
              <w:keepNext w:val="0"/>
              <w:keepLines w:val="0"/>
              <w:pageBreakBefore w:val="0"/>
              <w:widowControl/>
              <w:kinsoku/>
              <w:wordWrap/>
              <w:overflowPunct/>
              <w:topLinePunct w:val="0"/>
              <w:autoSpaceDE/>
              <w:autoSpaceDN/>
              <w:bidi w:val="0"/>
              <w:adjustRightInd/>
              <w:snapToGrid/>
              <w:spacing w:line="270" w:lineRule="exact"/>
              <w:rPr>
                <w:rFonts w:hint="eastAsia" w:ascii="宋体" w:hAnsi="宋体" w:eastAsia="宋体" w:cs="宋体"/>
                <w:i w:val="0"/>
                <w:iCs w:val="0"/>
                <w:color w:val="auto"/>
                <w:sz w:val="20"/>
                <w:szCs w:val="20"/>
                <w:u w:val="none"/>
              </w:rPr>
            </w:pPr>
          </w:p>
        </w:tc>
      </w:tr>
    </w:tbl>
    <w:p w14:paraId="046454B5">
      <w:pPr>
        <w:keepNext w:val="0"/>
        <w:keepLines w:val="0"/>
        <w:pageBreakBefore w:val="0"/>
        <w:widowControl w:val="0"/>
        <w:numPr>
          <w:ilvl w:val="0"/>
          <w:numId w:val="0"/>
        </w:numPr>
        <w:kinsoku/>
        <w:wordWrap/>
        <w:overflowPunct/>
        <w:topLinePunct w:val="0"/>
        <w:autoSpaceDE/>
        <w:autoSpaceDN/>
        <w:bidi w:val="0"/>
        <w:adjustRightInd/>
        <w:snapToGrid/>
        <w:spacing w:before="159" w:beforeLines="50" w:line="590" w:lineRule="exact"/>
        <w:jc w:val="center"/>
        <w:textAlignment w:val="auto"/>
        <w:rPr>
          <w:rFonts w:hint="eastAsia" w:ascii="方正小标宋简体" w:hAnsi="方正小标宋简体" w:eastAsia="方正小标宋简体" w:cs="方正小标宋简体"/>
          <w:i w:val="0"/>
          <w:iCs w:val="0"/>
          <w:color w:val="auto"/>
          <w:kern w:val="0"/>
          <w:sz w:val="44"/>
          <w:szCs w:val="44"/>
          <w:u w:val="none"/>
          <w:lang w:val="en-US" w:eastAsia="zh-CN" w:bidi="ar"/>
        </w:rPr>
      </w:pPr>
      <w:r>
        <w:rPr>
          <w:rFonts w:hint="eastAsia" w:ascii="方正小标宋简体" w:hAnsi="方正小标宋简体" w:eastAsia="方正小标宋简体" w:cs="方正小标宋简体"/>
          <w:i w:val="0"/>
          <w:iCs w:val="0"/>
          <w:color w:val="auto"/>
          <w:kern w:val="0"/>
          <w:sz w:val="44"/>
          <w:szCs w:val="44"/>
          <w:u w:val="none"/>
          <w:lang w:val="en-US" w:eastAsia="zh-CN" w:bidi="ar"/>
        </w:rPr>
        <w:t>枣庄市医疗保障系统公共服务事项清单</w:t>
      </w:r>
    </w:p>
    <w:tbl>
      <w:tblPr>
        <w:tblStyle w:val="12"/>
        <w:tblW w:w="15307" w:type="dxa"/>
        <w:jc w:val="center"/>
        <w:tblLayout w:type="fixed"/>
        <w:tblCellMar>
          <w:top w:w="0" w:type="dxa"/>
          <w:left w:w="57" w:type="dxa"/>
          <w:bottom w:w="0" w:type="dxa"/>
          <w:right w:w="57" w:type="dxa"/>
        </w:tblCellMar>
      </w:tblPr>
      <w:tblGrid>
        <w:gridCol w:w="573"/>
        <w:gridCol w:w="1101"/>
        <w:gridCol w:w="682"/>
        <w:gridCol w:w="837"/>
        <w:gridCol w:w="618"/>
        <w:gridCol w:w="4049"/>
        <w:gridCol w:w="485"/>
        <w:gridCol w:w="1441"/>
        <w:gridCol w:w="3090"/>
        <w:gridCol w:w="1833"/>
        <w:gridCol w:w="598"/>
      </w:tblGrid>
      <w:tr w14:paraId="63C38B2C">
        <w:tblPrEx>
          <w:tblCellMar>
            <w:top w:w="0" w:type="dxa"/>
            <w:left w:w="57" w:type="dxa"/>
            <w:bottom w:w="0" w:type="dxa"/>
            <w:right w:w="57" w:type="dxa"/>
          </w:tblCellMar>
        </w:tblPrEx>
        <w:trPr>
          <w:trHeight w:val="90" w:hRule="atLeast"/>
          <w:tblHeader/>
          <w:jc w:val="center"/>
        </w:trPr>
        <w:tc>
          <w:tcPr>
            <w:tcW w:w="5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AA6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序号</w:t>
            </w:r>
          </w:p>
        </w:tc>
        <w:tc>
          <w:tcPr>
            <w:tcW w:w="11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B598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部门</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职责</w:t>
            </w:r>
          </w:p>
        </w:tc>
        <w:tc>
          <w:tcPr>
            <w:tcW w:w="6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4A33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名称</w:t>
            </w:r>
          </w:p>
        </w:tc>
        <w:tc>
          <w:tcPr>
            <w:tcW w:w="8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C3E1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编码</w:t>
            </w:r>
          </w:p>
        </w:tc>
        <w:tc>
          <w:tcPr>
            <w:tcW w:w="6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47D0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事项</w:t>
            </w:r>
            <w:r>
              <w:rPr>
                <w:rFonts w:hint="eastAsia" w:ascii="黑体" w:hAnsi="宋体" w:eastAsia="黑体" w:cs="黑体"/>
                <w:i w:val="0"/>
                <w:iCs w:val="0"/>
                <w:color w:val="auto"/>
                <w:kern w:val="0"/>
                <w:sz w:val="22"/>
                <w:szCs w:val="22"/>
                <w:u w:val="none"/>
                <w:lang w:val="en-US" w:eastAsia="zh-CN" w:bidi="ar"/>
              </w:rPr>
              <w:br w:type="textWrapping"/>
            </w:r>
            <w:r>
              <w:rPr>
                <w:rFonts w:hint="eastAsia" w:ascii="黑体" w:hAnsi="宋体" w:eastAsia="黑体" w:cs="黑体"/>
                <w:i w:val="0"/>
                <w:iCs w:val="0"/>
                <w:color w:val="auto"/>
                <w:kern w:val="0"/>
                <w:sz w:val="22"/>
                <w:szCs w:val="22"/>
                <w:u w:val="none"/>
                <w:lang w:val="en-US" w:eastAsia="zh-CN" w:bidi="ar"/>
              </w:rPr>
              <w:t>类型</w:t>
            </w:r>
          </w:p>
        </w:tc>
        <w:tc>
          <w:tcPr>
            <w:tcW w:w="404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B433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设定、行使依据及有关条款</w:t>
            </w:r>
          </w:p>
        </w:tc>
        <w:tc>
          <w:tcPr>
            <w:tcW w:w="192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213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0"/>
                <w:sz w:val="22"/>
                <w:szCs w:val="22"/>
                <w:u w:val="none"/>
                <w:lang w:val="en-US" w:eastAsia="zh-CN" w:bidi="ar"/>
              </w:rPr>
            </w:pPr>
            <w:r>
              <w:rPr>
                <w:rFonts w:hint="eastAsia" w:ascii="黑体" w:hAnsi="宋体" w:eastAsia="黑体" w:cs="黑体"/>
                <w:i w:val="0"/>
                <w:iCs w:val="0"/>
                <w:color w:val="auto"/>
                <w:kern w:val="0"/>
                <w:sz w:val="22"/>
                <w:szCs w:val="22"/>
                <w:u w:val="none"/>
                <w:lang w:val="en-US" w:eastAsia="zh-CN" w:bidi="ar"/>
              </w:rPr>
              <w:t>实施层级及</w:t>
            </w:r>
          </w:p>
          <w:p w14:paraId="0A7E42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服务内容</w:t>
            </w:r>
          </w:p>
        </w:tc>
        <w:tc>
          <w:tcPr>
            <w:tcW w:w="30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97D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对应责任事项</w:t>
            </w:r>
          </w:p>
        </w:tc>
        <w:tc>
          <w:tcPr>
            <w:tcW w:w="18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7C7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追责情形及依据</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246E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黑体" w:hAnsi="宋体" w:eastAsia="黑体" w:cs="黑体"/>
                <w:i w:val="0"/>
                <w:iCs w:val="0"/>
                <w:color w:val="auto"/>
                <w:kern w:val="2"/>
                <w:sz w:val="22"/>
                <w:szCs w:val="22"/>
                <w:u w:val="none"/>
                <w:lang w:val="en-US" w:eastAsia="zh-CN" w:bidi="ar-SA"/>
              </w:rPr>
            </w:pPr>
            <w:r>
              <w:rPr>
                <w:rFonts w:hint="eastAsia" w:ascii="黑体" w:hAnsi="宋体" w:eastAsia="黑体" w:cs="黑体"/>
                <w:i w:val="0"/>
                <w:iCs w:val="0"/>
                <w:color w:val="auto"/>
                <w:kern w:val="0"/>
                <w:sz w:val="22"/>
                <w:szCs w:val="22"/>
                <w:u w:val="none"/>
                <w:lang w:val="en-US" w:eastAsia="zh-CN" w:bidi="ar"/>
              </w:rPr>
              <w:t>备注</w:t>
            </w:r>
          </w:p>
        </w:tc>
      </w:tr>
      <w:tr w14:paraId="35934EB2">
        <w:tblPrEx>
          <w:tblCellMar>
            <w:top w:w="0" w:type="dxa"/>
            <w:left w:w="57" w:type="dxa"/>
            <w:bottom w:w="0" w:type="dxa"/>
            <w:right w:w="57" w:type="dxa"/>
          </w:tblCellMar>
        </w:tblPrEx>
        <w:trPr>
          <w:trHeight w:val="3633"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50B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1661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负责省本级医疗保险参</w:t>
            </w:r>
            <w:r>
              <w:rPr>
                <w:rFonts w:hint="eastAsia" w:ascii="宋体" w:hAnsi="宋体" w:eastAsia="宋体" w:cs="宋体"/>
                <w:i w:val="0"/>
                <w:iCs w:val="0"/>
                <w:color w:val="auto"/>
                <w:spacing w:val="-6"/>
                <w:kern w:val="0"/>
                <w:sz w:val="20"/>
                <w:szCs w:val="20"/>
                <w:u w:val="none"/>
                <w:lang w:val="en-US" w:eastAsia="zh-CN" w:bidi="ar"/>
              </w:rPr>
              <w:t>保登记工作；</w:t>
            </w:r>
            <w:r>
              <w:rPr>
                <w:rFonts w:hint="eastAsia" w:ascii="宋体" w:hAnsi="宋体" w:eastAsia="宋体" w:cs="宋体"/>
                <w:i w:val="0"/>
                <w:iCs w:val="0"/>
                <w:color w:val="auto"/>
                <w:kern w:val="0"/>
                <w:sz w:val="20"/>
                <w:szCs w:val="20"/>
                <w:u w:val="none"/>
                <w:lang w:val="en-US" w:eastAsia="zh-CN" w:bidi="ar"/>
              </w:rPr>
              <w:t>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CA87F">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基本医疗保险参保和变更登记</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3E28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3700002036017</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D0AA9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3ED9A">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五十七条：用人单位应当自成立之日起三十日内凭营业执照、登记证书或者单位印章，向当地社会保险经办机构申请办理社会保险登记。社会保险经办机构应当自收到申请之日起十五日内予以审核，发给社会保险登记证件。用人单位的社会保险登记事项发生变更或者用人单位依法</w:t>
            </w:r>
            <w:r>
              <w:rPr>
                <w:rFonts w:hint="eastAsia" w:ascii="宋体" w:hAnsi="宋体" w:eastAsia="宋体" w:cs="宋体"/>
                <w:i w:val="0"/>
                <w:iCs w:val="0"/>
                <w:color w:val="auto"/>
                <w:spacing w:val="-6"/>
                <w:kern w:val="0"/>
                <w:sz w:val="20"/>
                <w:szCs w:val="20"/>
                <w:u w:val="none"/>
                <w:lang w:val="en-US" w:eastAsia="zh-CN" w:bidi="ar"/>
              </w:rPr>
              <w:t>终止的，应当自变更或者终止之日起三十日内，到社会保险经办机构办理变更或者注销社会保险登记。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行政法规】《社会保险费征缴暂行条例》（1999年1月国务院令第259号，根据2019年3月国务院令第710号修订）第七条第一款：缴费单位必须向当地社会保险经办机构办理社会保险登记，参加社会保险。第八条：企业在办理登记注册时，同步办理社会保险登记。前款规定以外的缴费单位应当自成立之日起30日内，向当地社会保险经办机构申请办理社会保险登记。</w:t>
            </w:r>
          </w:p>
          <w:p w14:paraId="4CF879C6">
            <w:pPr>
              <w:pStyle w:val="10"/>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both"/>
              <w:rPr>
                <w:rFonts w:hint="eastAsia"/>
                <w:sz w:val="20"/>
                <w:szCs w:val="20"/>
              </w:rPr>
            </w:pPr>
            <w:r>
              <w:rPr>
                <w:rFonts w:hint="eastAsia" w:ascii="宋体" w:hAnsi="宋体" w:eastAsia="宋体" w:cs="宋体"/>
                <w:sz w:val="20"/>
                <w:szCs w:val="20"/>
              </w:rPr>
              <w:t>3.【行政法规】《社会保险经办条例》（中华人民共和国国务院令第765号）第六条：用人单位在登记管理机关办理登记时同步办理社会保险登记。个人申请办理社会保险登记，以公民身份号码作为社会保障号码，取得社会保障卡和医保子凭证。社会保险经办机构应当自收到申请之日起10个工作日内办理完毕。第十条：用人单位和个人申请变更、注销社会保险登记，社会保险经办机构应当自收到申请之日起10个工作日内办理完毕。用人单位注销社会保险登记的，应当先结清欠缴的社会保险费、滞纳金、罚款。</w:t>
            </w:r>
          </w:p>
        </w:tc>
        <w:tc>
          <w:tcPr>
            <w:tcW w:w="485" w:type="dxa"/>
            <w:tcBorders>
              <w:top w:val="single" w:color="000000" w:sz="4" w:space="0"/>
              <w:left w:val="single" w:color="000000" w:sz="4" w:space="0"/>
              <w:right w:val="single" w:color="000000" w:sz="4" w:space="0"/>
            </w:tcBorders>
            <w:shd w:val="clear" w:color="auto" w:fill="FFFFFF"/>
            <w:noWrap w:val="0"/>
            <w:vAlign w:val="center"/>
          </w:tcPr>
          <w:p w14:paraId="0DCC7B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auto"/>
            <w:noWrap w:val="0"/>
            <w:vAlign w:val="center"/>
          </w:tcPr>
          <w:p w14:paraId="515C764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按照属地管理原则，负责本统筹地区的基本医疗保险参保和变更登记服务</w:t>
            </w:r>
          </w:p>
        </w:tc>
        <w:tc>
          <w:tcPr>
            <w:tcW w:w="3090" w:type="dxa"/>
            <w:tcBorders>
              <w:top w:val="single" w:color="000000" w:sz="4" w:space="0"/>
              <w:left w:val="single" w:color="000000" w:sz="4" w:space="0"/>
              <w:right w:val="single" w:color="000000" w:sz="4" w:space="0"/>
            </w:tcBorders>
            <w:shd w:val="clear" w:color="auto" w:fill="FFFFFF"/>
            <w:noWrap w:val="0"/>
            <w:vAlign w:val="center"/>
          </w:tcPr>
          <w:p w14:paraId="1AF28726">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125182F4">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Fonts w:hint="eastAsia" w:ascii="黑体" w:hAnsi="宋体" w:eastAsia="黑体" w:cs="黑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Fonts w:hint="eastAsia" w:ascii="黑体" w:hAnsi="宋体" w:eastAsia="黑体" w:cs="黑体"/>
                <w:i w:val="0"/>
                <w:iCs w:val="0"/>
                <w:color w:val="auto"/>
                <w:kern w:val="0"/>
                <w:sz w:val="20"/>
                <w:szCs w:val="20"/>
                <w:u w:val="none"/>
                <w:lang w:val="en-US" w:eastAsia="zh-CN" w:bidi="ar"/>
              </w:rPr>
              <w:br w:type="textWrapping"/>
            </w:r>
            <w:r>
              <w:rPr>
                <w:rFonts w:hint="eastAsia" w:ascii="黑体" w:hAnsi="宋体" w:eastAsia="黑体" w:cs="黑体"/>
                <w:i w:val="0"/>
                <w:iCs w:val="0"/>
                <w:color w:val="auto"/>
                <w:kern w:val="0"/>
                <w:sz w:val="20"/>
                <w:szCs w:val="20"/>
                <w:u w:val="none"/>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91BAE2">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0C9BE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w:t>
            </w:r>
          </w:p>
        </w:tc>
      </w:tr>
      <w:tr w14:paraId="2962DFD0">
        <w:tblPrEx>
          <w:tblCellMar>
            <w:top w:w="0" w:type="dxa"/>
            <w:left w:w="57" w:type="dxa"/>
            <w:bottom w:w="0" w:type="dxa"/>
            <w:right w:w="57" w:type="dxa"/>
          </w:tblCellMar>
        </w:tblPrEx>
        <w:trPr>
          <w:trHeight w:val="2136"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853D73">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3A1149">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583800">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121847">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774C69">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59560">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2FC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DE1A3F">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按照属地管理原则，负责本统筹地区的基本医疗保险参保和变更登记服务</w:t>
            </w:r>
          </w:p>
        </w:tc>
        <w:tc>
          <w:tcPr>
            <w:tcW w:w="30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0E98DD">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06AB1360">
            <w:pPr>
              <w:keepNext w:val="0"/>
              <w:keepLines w:val="0"/>
              <w:pageBreakBefore w:val="0"/>
              <w:widowControl/>
              <w:suppressLineNumbers w:val="0"/>
              <w:kinsoku/>
              <w:wordWrap/>
              <w:overflowPunct/>
              <w:topLinePunct w:val="0"/>
              <w:autoSpaceDE/>
              <w:autoSpaceDN/>
              <w:bidi w:val="0"/>
              <w:adjustRightInd/>
              <w:snapToGrid/>
              <w:spacing w:line="250" w:lineRule="exact"/>
              <w:ind w:left="42" w:leftChars="20" w:right="42" w:rightChars="20"/>
              <w:jc w:val="both"/>
              <w:textAlignment w:val="center"/>
              <w:rPr>
                <w:rStyle w:val="26"/>
                <w:rFonts w:hint="default"/>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0E46D">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BB77E">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39F99E75">
        <w:tblPrEx>
          <w:tblCellMar>
            <w:top w:w="0" w:type="dxa"/>
            <w:left w:w="57" w:type="dxa"/>
            <w:bottom w:w="0" w:type="dxa"/>
            <w:right w:w="57" w:type="dxa"/>
          </w:tblCellMar>
        </w:tblPrEx>
        <w:trPr>
          <w:trHeight w:val="4027"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8265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65A5C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负责省本级医疗保险、生育保险等社会保险的权益记录、待遇支付、基金管理等经办业务；指导全省医疗保险、生育保险等社会保险经办业务和医保基金与医药企业直接结算工作。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7FCE7">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基本医疗保险关系转移接续</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381C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3700002036022</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0F5D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C5C20">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Style w:val="26"/>
                <w:color w:val="auto"/>
                <w:sz w:val="19"/>
                <w:szCs w:val="19"/>
                <w:lang w:val="en-US" w:eastAsia="zh-CN" w:bidi="ar"/>
              </w:rPr>
            </w:pPr>
            <w:r>
              <w:rPr>
                <w:rFonts w:hint="eastAsia" w:ascii="宋体" w:hAnsi="宋体" w:eastAsia="宋体" w:cs="宋体"/>
                <w:i w:val="0"/>
                <w:iCs w:val="0"/>
                <w:color w:val="auto"/>
                <w:kern w:val="0"/>
                <w:sz w:val="19"/>
                <w:szCs w:val="19"/>
                <w:u w:val="none"/>
                <w:lang w:val="en-US" w:eastAsia="zh-CN" w:bidi="ar"/>
              </w:rPr>
              <w:t>1.【部委文件】《国家医保局办公室 财政部办公厅关于印发〈基本医疗保险关系</w:t>
            </w:r>
            <w:r>
              <w:rPr>
                <w:rFonts w:hint="eastAsia" w:ascii="宋体" w:hAnsi="宋体" w:eastAsia="宋体" w:cs="宋体"/>
                <w:color w:val="auto"/>
                <w:kern w:val="0"/>
                <w:sz w:val="19"/>
                <w:szCs w:val="19"/>
                <w:u w:val="none"/>
                <w:lang w:bidi="ar"/>
              </w:rPr>
              <w:t>转移接续暂行办法</w:t>
            </w:r>
            <w:r>
              <w:rPr>
                <w:rFonts w:hint="eastAsia" w:ascii="宋体" w:hAnsi="宋体" w:eastAsia="宋体" w:cs="宋体"/>
                <w:i w:val="0"/>
                <w:iCs w:val="0"/>
                <w:color w:val="auto"/>
                <w:kern w:val="0"/>
                <w:sz w:val="19"/>
                <w:szCs w:val="19"/>
                <w:u w:val="none"/>
                <w:lang w:val="en-US" w:eastAsia="zh-CN" w:bidi="ar"/>
              </w:rPr>
              <w:t>〉的通知》（医保办发</w:t>
            </w:r>
            <w:r>
              <w:rPr>
                <w:rStyle w:val="27"/>
                <w:color w:val="auto"/>
                <w:sz w:val="19"/>
                <w:szCs w:val="19"/>
                <w:lang w:val="en-US" w:eastAsia="zh-CN" w:bidi="ar"/>
              </w:rPr>
              <w:t>〔</w:t>
            </w:r>
            <w:r>
              <w:rPr>
                <w:rStyle w:val="26"/>
                <w:color w:val="auto"/>
                <w:sz w:val="19"/>
                <w:szCs w:val="19"/>
                <w:lang w:val="en-US" w:eastAsia="zh-CN" w:bidi="ar"/>
              </w:rPr>
              <w:t>2021</w:t>
            </w:r>
            <w:r>
              <w:rPr>
                <w:rStyle w:val="27"/>
                <w:color w:val="auto"/>
                <w:sz w:val="19"/>
                <w:szCs w:val="19"/>
                <w:lang w:val="en-US" w:eastAsia="zh-CN" w:bidi="ar"/>
              </w:rPr>
              <w:t>〕</w:t>
            </w:r>
            <w:r>
              <w:rPr>
                <w:rStyle w:val="26"/>
                <w:color w:val="auto"/>
                <w:sz w:val="19"/>
                <w:szCs w:val="19"/>
                <w:lang w:val="en-US" w:eastAsia="zh-CN" w:bidi="ar"/>
              </w:rPr>
              <w:t>43号）第二条：本办法主要适用于职工基本医疗保险参保人员（不含退休人员，以下简称职工医保参保人员）和城乡居民基本医疗保险参保人员（以下简称居民医保参保人员）因跨统筹地区就业、户籍或常住地变动的，按规定办理基本医疗保险关系转移接续，包括个人医保信息记录的传递、职工医保个人账户（以下简称个人账户）资金的转移和医保待遇衔接的处理。第八条：参保人员转移接续申请成功受理后，转出地经办机构10个工作日内完成基本医疗保险关系转出，生成《参保人员基本医疗保险信息表》（以下简称《信息表》），核对无误后，将带有电子签章的《信息表》同步上传到医保信息平台，经医保信息平台传送至转入地经办机构；若个人账户有余额的，办理个人账户余额划转手续。 第九条：转入地经办机构收到《信息表》后，核对相关信息并在5个工作日内将《信息表》同步至本地医保信息平台，完成基本医疗保险关系转入。转入地经办机构收到转出地经办机构划转的个人账户余额后，与业务档案匹配并核对个人账户转移金额，核对无误后可将个人账户金额计入参保人员的个人账户。</w:t>
            </w:r>
          </w:p>
          <w:p w14:paraId="3E48D00B">
            <w:pPr>
              <w:pStyle w:val="10"/>
              <w:keepNext w:val="0"/>
              <w:keepLines w:val="0"/>
              <w:pageBreakBefore w:val="0"/>
              <w:widowControl/>
              <w:kinsoku/>
              <w:wordWrap/>
              <w:overflowPunct/>
              <w:topLinePunct w:val="0"/>
              <w:autoSpaceDE/>
              <w:autoSpaceDN/>
              <w:bidi w:val="0"/>
              <w:adjustRightInd/>
              <w:snapToGrid/>
              <w:spacing w:line="240" w:lineRule="exact"/>
              <w:ind w:left="42" w:leftChars="20" w:right="42" w:rightChars="20" w:firstLine="0" w:firstLineChars="0"/>
              <w:jc w:val="both"/>
              <w:rPr>
                <w:rFonts w:hint="eastAsia"/>
                <w:sz w:val="20"/>
                <w:szCs w:val="20"/>
              </w:rPr>
            </w:pPr>
            <w:r>
              <w:rPr>
                <w:rFonts w:hint="eastAsia" w:ascii="宋体" w:hAnsi="宋体" w:eastAsia="宋体" w:cs="宋体"/>
                <w:sz w:val="19"/>
                <w:szCs w:val="19"/>
              </w:rPr>
              <w:t>2.【行政法规】《社会保险经办条例》（中华人民共和国国务院令第765号）第十三条：参加职工基本医疗保险的个人跨统筹地区就业，其职工基本医疗保险关系随同转移。第十六条：用人单位和个人办理社会保险关系转移接续手续的，社会保险经办机构应当在规定时限内办理完毕，并将结果告知用人单位和个人，或者提供办理情况查询服务。</w:t>
            </w:r>
          </w:p>
        </w:tc>
        <w:tc>
          <w:tcPr>
            <w:tcW w:w="485" w:type="dxa"/>
            <w:tcBorders>
              <w:top w:val="single" w:color="000000" w:sz="4" w:space="0"/>
              <w:left w:val="single" w:color="000000" w:sz="4" w:space="0"/>
              <w:right w:val="single" w:color="000000" w:sz="4" w:space="0"/>
            </w:tcBorders>
            <w:shd w:val="clear" w:color="auto" w:fill="FFFFFF"/>
            <w:noWrap w:val="0"/>
            <w:vAlign w:val="center"/>
          </w:tcPr>
          <w:p w14:paraId="0D27C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auto"/>
            <w:noWrap w:val="0"/>
            <w:vAlign w:val="center"/>
          </w:tcPr>
          <w:p w14:paraId="576DE2E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按照属地管理原则，负责本统筹地区的基本医疗保险关系转移接续服务</w:t>
            </w:r>
          </w:p>
        </w:tc>
        <w:tc>
          <w:tcPr>
            <w:tcW w:w="3090" w:type="dxa"/>
            <w:tcBorders>
              <w:top w:val="single" w:color="000000" w:sz="4" w:space="0"/>
              <w:left w:val="single" w:color="000000" w:sz="4" w:space="0"/>
              <w:right w:val="single" w:color="000000" w:sz="4" w:space="0"/>
            </w:tcBorders>
            <w:shd w:val="clear" w:color="auto" w:fill="FFFFFF"/>
            <w:noWrap w:val="0"/>
            <w:vAlign w:val="center"/>
          </w:tcPr>
          <w:p w14:paraId="54EA629B">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642BAEFB">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黑体" w:hAnsi="宋体" w:eastAsia="黑体" w:cs="黑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3AE8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FCC441">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7CF9BE22">
        <w:tblPrEx>
          <w:tblCellMar>
            <w:top w:w="0" w:type="dxa"/>
            <w:left w:w="57" w:type="dxa"/>
            <w:bottom w:w="0" w:type="dxa"/>
            <w:right w:w="57" w:type="dxa"/>
          </w:tblCellMar>
        </w:tblPrEx>
        <w:trPr>
          <w:trHeight w:val="2627"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286A62">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59DDDD">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3DA42">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E2E25">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F8EE97">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1C34A">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4A0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73F46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按照属地管理原则，负责本统筹地区的基本医疗保险关系转移接续服务</w:t>
            </w:r>
          </w:p>
        </w:tc>
        <w:tc>
          <w:tcPr>
            <w:tcW w:w="30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ED2A9">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677B425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5619F5">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C9D45">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699720EC">
        <w:tblPrEx>
          <w:tblCellMar>
            <w:top w:w="0" w:type="dxa"/>
            <w:left w:w="57" w:type="dxa"/>
            <w:bottom w:w="0" w:type="dxa"/>
            <w:right w:w="57" w:type="dxa"/>
          </w:tblCellMar>
        </w:tblPrEx>
        <w:trPr>
          <w:trHeight w:val="4134"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9E89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0517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负责省本级医疗保险、生育保险等社会保险的权益记录、待遇支付、基金管理等经办业务；指导全省医疗保险、生育保险等社会保险经办业务和医保基金与医药企业直接结算工作。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1E6DEF">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基本医疗保险参保信息查询和个人账户一次性支取</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8D375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3700002036024</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B0E8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29DA4">
            <w:pPr>
              <w:keepNext w:val="0"/>
              <w:keepLines w:val="0"/>
              <w:pageBreakBefore w:val="0"/>
              <w:widowControl/>
              <w:numPr>
                <w:ilvl w:val="0"/>
                <w:numId w:val="0"/>
              </w:numPr>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ascii="宋体" w:hAnsi="宋体" w:eastAsia="宋体" w:cs="宋体"/>
                <w:color w:val="auto"/>
                <w:sz w:val="20"/>
                <w:szCs w:val="20"/>
                <w:lang w:bidi="ar"/>
              </w:rPr>
            </w:pPr>
            <w:r>
              <w:rPr>
                <w:rStyle w:val="26"/>
                <w:rFonts w:hint="eastAsia" w:ascii="宋体" w:hAnsi="宋体" w:eastAsia="宋体" w:cs="宋体"/>
                <w:color w:val="auto"/>
                <w:sz w:val="20"/>
                <w:szCs w:val="20"/>
                <w:lang w:val="en-US" w:eastAsia="zh-CN" w:bidi="ar"/>
              </w:rPr>
              <w:t>1.</w:t>
            </w:r>
            <w:r>
              <w:rPr>
                <w:rStyle w:val="26"/>
                <w:rFonts w:hint="eastAsia" w:ascii="宋体" w:hAnsi="宋体" w:eastAsia="宋体" w:cs="宋体"/>
                <w:color w:val="auto"/>
                <w:sz w:val="20"/>
                <w:szCs w:val="20"/>
                <w:lang w:bidi="ar"/>
              </w:rPr>
              <w:t>【法律】《</w:t>
            </w:r>
            <w:r>
              <w:rPr>
                <w:rFonts w:hint="eastAsia" w:ascii="宋体" w:hAnsi="宋体" w:eastAsia="宋体" w:cs="宋体"/>
                <w:i w:val="0"/>
                <w:iCs w:val="0"/>
                <w:color w:val="auto"/>
                <w:kern w:val="0"/>
                <w:sz w:val="20"/>
                <w:szCs w:val="20"/>
                <w:u w:val="none"/>
                <w:lang w:val="en-US" w:eastAsia="zh-CN" w:bidi="ar"/>
              </w:rPr>
              <w:t>中华人民共和国</w:t>
            </w:r>
            <w:r>
              <w:rPr>
                <w:rStyle w:val="26"/>
                <w:rFonts w:hint="eastAsia" w:ascii="宋体" w:hAnsi="宋体" w:eastAsia="宋体" w:cs="宋体"/>
                <w:color w:val="auto"/>
                <w:sz w:val="20"/>
                <w:szCs w:val="20"/>
                <w:lang w:bidi="ar"/>
              </w:rPr>
              <w:t>社会保险法》（2018年12月修正）第四条</w:t>
            </w:r>
            <w:r>
              <w:rPr>
                <w:rStyle w:val="26"/>
                <w:rFonts w:hint="eastAsia" w:ascii="宋体" w:hAnsi="宋体" w:eastAsia="宋体" w:cs="宋体"/>
                <w:color w:val="auto"/>
                <w:sz w:val="20"/>
                <w:szCs w:val="20"/>
                <w:lang w:val="en-US" w:eastAsia="zh-CN" w:bidi="ar"/>
              </w:rPr>
              <w:t>第一款</w:t>
            </w:r>
            <w:r>
              <w:rPr>
                <w:rStyle w:val="26"/>
                <w:rFonts w:hint="eastAsia" w:ascii="宋体" w:hAnsi="宋体" w:eastAsia="宋体" w:cs="宋体"/>
                <w:color w:val="auto"/>
                <w:sz w:val="20"/>
                <w:szCs w:val="20"/>
                <w:lang w:bidi="ar"/>
              </w:rPr>
              <w:t>：中华人民共和国境内的用人单位和个人依法缴纳社会保险费，有权查询缴费记录、个人权益记录，要求社会保险经办机构提供社会保险咨询等相关服务。第七十四条</w:t>
            </w:r>
            <w:r>
              <w:rPr>
                <w:rStyle w:val="26"/>
                <w:rFonts w:hint="eastAsia" w:ascii="宋体" w:hAnsi="宋体" w:eastAsia="宋体" w:cs="宋体"/>
                <w:color w:val="auto"/>
                <w:sz w:val="20"/>
                <w:szCs w:val="20"/>
                <w:lang w:val="en-US" w:eastAsia="zh-CN" w:bidi="ar"/>
              </w:rPr>
              <w:t>第四款</w:t>
            </w:r>
            <w:r>
              <w:rPr>
                <w:rStyle w:val="26"/>
                <w:rFonts w:hint="eastAsia" w:ascii="宋体" w:hAnsi="宋体" w:eastAsia="宋体" w:cs="宋体"/>
                <w:color w:val="auto"/>
                <w:sz w:val="20"/>
                <w:szCs w:val="20"/>
                <w:lang w:bidi="ar"/>
              </w:rPr>
              <w:t>：用人单位和个人可以免费向社会保险经办机构查询、核对其缴费和享受社会保险待遇记录，要求社会保险经办机构提供社会保险咨询等相关服务。</w:t>
            </w:r>
          </w:p>
          <w:p w14:paraId="70FE2858">
            <w:pPr>
              <w:keepNext w:val="0"/>
              <w:keepLines w:val="0"/>
              <w:pageBreakBefore w:val="0"/>
              <w:widowControl/>
              <w:kinsoku/>
              <w:wordWrap/>
              <w:overflowPunct/>
              <w:topLinePunct w:val="0"/>
              <w:autoSpaceDE/>
              <w:autoSpaceDN/>
              <w:bidi w:val="0"/>
              <w:adjustRightInd/>
              <w:snapToGrid/>
              <w:spacing w:line="260" w:lineRule="exact"/>
              <w:ind w:left="42" w:leftChars="20" w:right="42" w:rightChars="20"/>
              <w:jc w:val="both"/>
              <w:textAlignment w:val="center"/>
              <w:rPr>
                <w:rStyle w:val="26"/>
                <w:rFonts w:ascii="宋体" w:hAnsi="宋体" w:eastAsia="宋体" w:cs="宋体"/>
                <w:color w:val="auto"/>
                <w:lang w:bidi="ar"/>
              </w:rPr>
            </w:pPr>
            <w:r>
              <w:rPr>
                <w:rFonts w:hint="eastAsia" w:ascii="宋体" w:hAnsi="宋体" w:eastAsia="宋体" w:cs="宋体"/>
                <w:color w:val="auto"/>
                <w:kern w:val="0"/>
                <w:sz w:val="20"/>
                <w:szCs w:val="20"/>
                <w:lang w:val="en-US" w:eastAsia="zh-CN" w:bidi="ar"/>
              </w:rPr>
              <w:t>2.【行政法规】《社会保险经办条例》（中华人民共和国国务院令第765号）第三十二条：社会保险经办机构免费向用人单位和个人提供查询核对社会保险缴费和享受社会保险待遇记录、社会保险咨询等相关服务。</w:t>
            </w:r>
          </w:p>
        </w:tc>
        <w:tc>
          <w:tcPr>
            <w:tcW w:w="485" w:type="dxa"/>
            <w:tcBorders>
              <w:top w:val="single" w:color="000000" w:sz="4" w:space="0"/>
              <w:left w:val="single" w:color="000000" w:sz="4" w:space="0"/>
              <w:right w:val="single" w:color="000000" w:sz="4" w:space="0"/>
            </w:tcBorders>
            <w:shd w:val="clear" w:color="auto" w:fill="auto"/>
            <w:noWrap w:val="0"/>
            <w:vAlign w:val="center"/>
          </w:tcPr>
          <w:p w14:paraId="49899A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auto"/>
            <w:noWrap w:val="0"/>
            <w:vAlign w:val="center"/>
          </w:tcPr>
          <w:p w14:paraId="00FEAE7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按照属地管理原则，负责本统筹地区参保人员的基本医疗保险参保信息查询和个人账户一次性支取</w:t>
            </w:r>
          </w:p>
        </w:tc>
        <w:tc>
          <w:tcPr>
            <w:tcW w:w="3090" w:type="dxa"/>
            <w:tcBorders>
              <w:top w:val="single" w:color="000000" w:sz="4" w:space="0"/>
              <w:left w:val="single" w:color="000000" w:sz="4" w:space="0"/>
              <w:right w:val="single" w:color="000000" w:sz="4" w:space="0"/>
            </w:tcBorders>
            <w:shd w:val="clear" w:color="auto" w:fill="auto"/>
            <w:noWrap w:val="0"/>
            <w:vAlign w:val="center"/>
          </w:tcPr>
          <w:p w14:paraId="059498CB">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5B962B1C">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黑体" w:hAnsi="宋体" w:eastAsia="黑体" w:cs="黑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72B9A">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21C4DE">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55AD5B09">
        <w:tblPrEx>
          <w:tblCellMar>
            <w:top w:w="0" w:type="dxa"/>
            <w:left w:w="57" w:type="dxa"/>
            <w:bottom w:w="0" w:type="dxa"/>
            <w:right w:w="57" w:type="dxa"/>
          </w:tblCellMar>
        </w:tblPrEx>
        <w:trPr>
          <w:trHeight w:val="3930"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048C0">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69A4A">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4B6CE">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26414">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31A69">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B14E8">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6A4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AEF1A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按照属地管理原则，负责本统筹地区参保人员的基本医疗保险参保信息查询和个人账户一次性支取</w:t>
            </w:r>
          </w:p>
        </w:tc>
        <w:tc>
          <w:tcPr>
            <w:tcW w:w="3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BD1C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390A56A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0E8B1">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B071A6">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15BD9B97">
        <w:tblPrEx>
          <w:tblCellMar>
            <w:top w:w="0" w:type="dxa"/>
            <w:left w:w="57" w:type="dxa"/>
            <w:bottom w:w="0" w:type="dxa"/>
            <w:right w:w="57" w:type="dxa"/>
          </w:tblCellMar>
        </w:tblPrEx>
        <w:trPr>
          <w:trHeight w:val="3809"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2E7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44CEE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负责省本级医疗保险、生育保险等社会保险的权益记录、待遇支付、基金管理等经办业务；指导全省医疗保险、生育保险等社会保险经办业务和医保基金与医药企业直接结算工作。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6217C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基本医疗保险参保人员享受门诊慢特病病种待遇认定</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65FC02">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3700002036025</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6B4CF">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3A44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color w:val="auto"/>
                <w:kern w:val="0"/>
                <w:sz w:val="20"/>
                <w:szCs w:val="20"/>
                <w:lang w:eastAsia="zh-CN" w:bidi="ar"/>
              </w:rPr>
              <w:t>1.【部委文件】《国家医疗保障局办公室关于加强门诊慢性病和特殊疾病医保管理服务工作的通知》（医保办发〔2024〕31号）一、加强门诊慢特病病种保障待遇认定管理，（一）规范认定程序：原则上按照“申请—受理—审核—办结”流程开展门诊慢特病病种保障待遇认定。要精简办理材料，严格办理时限，按照《全国医疗保障经办政务服务事项清单》要求完成认定。符合条件的参保人可自愿申请进行病种保障待遇认定。医保经办机构负责认定工作的，要对申请材料的完整性和必要性进行审查。</w:t>
            </w:r>
          </w:p>
        </w:tc>
        <w:tc>
          <w:tcPr>
            <w:tcW w:w="485" w:type="dxa"/>
            <w:tcBorders>
              <w:top w:val="single" w:color="000000" w:sz="4" w:space="0"/>
              <w:left w:val="single" w:color="000000" w:sz="4" w:space="0"/>
              <w:right w:val="single" w:color="000000" w:sz="4" w:space="0"/>
            </w:tcBorders>
            <w:shd w:val="clear" w:color="auto" w:fill="FFFFFF"/>
            <w:noWrap w:val="0"/>
            <w:vAlign w:val="center"/>
          </w:tcPr>
          <w:p w14:paraId="50E193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FFFFFF"/>
            <w:noWrap w:val="0"/>
            <w:vAlign w:val="center"/>
          </w:tcPr>
          <w:p w14:paraId="05DFB79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按照属地管理原则，负责本统筹地区参保人员门诊慢特病病种待遇认定服务</w:t>
            </w:r>
          </w:p>
        </w:tc>
        <w:tc>
          <w:tcPr>
            <w:tcW w:w="3090" w:type="dxa"/>
            <w:tcBorders>
              <w:top w:val="single" w:color="000000" w:sz="4" w:space="0"/>
              <w:left w:val="single" w:color="000000" w:sz="4" w:space="0"/>
              <w:right w:val="single" w:color="000000" w:sz="4" w:space="0"/>
            </w:tcBorders>
            <w:shd w:val="clear" w:color="auto" w:fill="FFFFFF"/>
            <w:noWrap w:val="0"/>
            <w:vAlign w:val="center"/>
          </w:tcPr>
          <w:p w14:paraId="2344EF2A">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516A8CF7">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黑体" w:hAnsi="宋体" w:eastAsia="黑体" w:cs="黑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168D0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8D2252">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54665910">
        <w:tblPrEx>
          <w:tblCellMar>
            <w:top w:w="0" w:type="dxa"/>
            <w:left w:w="57" w:type="dxa"/>
            <w:bottom w:w="0" w:type="dxa"/>
            <w:right w:w="57" w:type="dxa"/>
          </w:tblCellMar>
        </w:tblPrEx>
        <w:trPr>
          <w:trHeight w:val="4238" w:hRule="atLeast"/>
          <w:jc w:val="center"/>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4D12D">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11AA5">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578F4">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823D4">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6A5AB">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947A0E">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46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4DDF6">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按照属地管理原则，负责本统筹地区参保人员门诊慢特病病种待遇认定服务</w:t>
            </w:r>
          </w:p>
        </w:tc>
        <w:tc>
          <w:tcPr>
            <w:tcW w:w="30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1A1D6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48CA7E1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F32E4">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0A3B3">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11B41237">
        <w:tblPrEx>
          <w:tblCellMar>
            <w:top w:w="0" w:type="dxa"/>
            <w:left w:w="57" w:type="dxa"/>
            <w:bottom w:w="0" w:type="dxa"/>
            <w:right w:w="57" w:type="dxa"/>
          </w:tblCellMar>
        </w:tblPrEx>
        <w:trPr>
          <w:trHeight w:val="4253" w:hRule="atLeast"/>
          <w:jc w:val="center"/>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71DD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618D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负责省本级医疗保险、生育保险等社会保险的权益记录、待遇支付、基金管理等经办业务；指导全省医疗保险、生育保险等社会保险经办业务和医保基金与医药企业直接结算工作。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CBAF0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基本医疗保险参保人员异地就医备案</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7D43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3700002036027</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B467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E5E3E6">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1.【部委文件】《国家医保局 财政部关于进一步做好基本医疗保险跨省异地就医直接结算工作的通知》（医保发〔2022〕22号）第二条第（二）款：跨省异地长期居住或跨省临时外出就医的参保人员办理异地就医备案后可以享受跨省异地就医直接结算服务。</w:t>
            </w:r>
          </w:p>
        </w:tc>
        <w:tc>
          <w:tcPr>
            <w:tcW w:w="485" w:type="dxa"/>
            <w:tcBorders>
              <w:top w:val="single" w:color="000000" w:sz="4" w:space="0"/>
              <w:left w:val="single" w:color="000000" w:sz="4" w:space="0"/>
              <w:right w:val="single" w:color="000000" w:sz="4" w:space="0"/>
            </w:tcBorders>
            <w:shd w:val="clear" w:color="auto" w:fill="FFFFFF"/>
            <w:noWrap w:val="0"/>
            <w:vAlign w:val="center"/>
          </w:tcPr>
          <w:p w14:paraId="09872D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auto"/>
            <w:noWrap w:val="0"/>
            <w:vAlign w:val="center"/>
          </w:tcPr>
          <w:p w14:paraId="4EC3A8E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按照属地管理原则，负责本统筹地区基本医疗保险参保人员异地就医备案服务</w:t>
            </w:r>
          </w:p>
        </w:tc>
        <w:tc>
          <w:tcPr>
            <w:tcW w:w="3090" w:type="dxa"/>
            <w:tcBorders>
              <w:top w:val="single" w:color="000000" w:sz="4" w:space="0"/>
              <w:left w:val="single" w:color="000000" w:sz="4" w:space="0"/>
              <w:right w:val="single" w:color="000000" w:sz="4" w:space="0"/>
            </w:tcBorders>
            <w:shd w:val="clear" w:color="auto" w:fill="auto"/>
            <w:noWrap w:val="0"/>
            <w:vAlign w:val="center"/>
          </w:tcPr>
          <w:p w14:paraId="746F502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1C32A68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方正小标宋简体" w:hAnsi="方正小标宋简体" w:eastAsia="方正小标宋简体" w:cs="方正小标宋简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F305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94F2D">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6D4EEEA1">
        <w:tblPrEx>
          <w:tblCellMar>
            <w:top w:w="0" w:type="dxa"/>
            <w:left w:w="57" w:type="dxa"/>
            <w:bottom w:w="0" w:type="dxa"/>
            <w:right w:w="57" w:type="dxa"/>
          </w:tblCellMar>
        </w:tblPrEx>
        <w:trPr>
          <w:trHeight w:val="3863" w:hRule="atLeast"/>
          <w:jc w:val="center"/>
        </w:trPr>
        <w:tc>
          <w:tcPr>
            <w:tcW w:w="573" w:type="dxa"/>
            <w:vMerge w:val="continue"/>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18033561">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BBC26">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BBAB0">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68CBDD">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984AF">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B4EDC">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BB21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CA6C4A">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按照属地管理原则，负责本统筹地区基本医疗保险参保人员异地就医备案服务</w:t>
            </w:r>
          </w:p>
        </w:tc>
        <w:tc>
          <w:tcPr>
            <w:tcW w:w="3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CC55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02021B3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default"/>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02B2">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309720">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7F975191">
        <w:tblPrEx>
          <w:tblCellMar>
            <w:top w:w="0" w:type="dxa"/>
            <w:left w:w="57" w:type="dxa"/>
            <w:bottom w:w="0" w:type="dxa"/>
            <w:right w:w="57" w:type="dxa"/>
          </w:tblCellMar>
        </w:tblPrEx>
        <w:trPr>
          <w:trHeight w:val="4000" w:hRule="atLeast"/>
          <w:jc w:val="center"/>
        </w:trPr>
        <w:tc>
          <w:tcPr>
            <w:tcW w:w="573" w:type="dxa"/>
            <w:vMerge w:val="restart"/>
            <w:tcBorders>
              <w:top w:val="single" w:color="auto" w:sz="4" w:space="0"/>
              <w:left w:val="single" w:color="auto" w:sz="4" w:space="0"/>
              <w:bottom w:val="single" w:color="auto" w:sz="4" w:space="0"/>
              <w:right w:val="single" w:color="auto" w:sz="4" w:space="0"/>
            </w:tcBorders>
            <w:noWrap w:val="0"/>
            <w:vAlign w:val="center"/>
          </w:tcPr>
          <w:p w14:paraId="5EB1FF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101" w:type="dxa"/>
            <w:vMerge w:val="restart"/>
            <w:tcBorders>
              <w:top w:val="single" w:color="000000" w:sz="4" w:space="0"/>
              <w:left w:val="single" w:color="auto" w:sz="4" w:space="0"/>
              <w:bottom w:val="single" w:color="000000" w:sz="4" w:space="0"/>
              <w:right w:val="single" w:color="000000" w:sz="4" w:space="0"/>
            </w:tcBorders>
            <w:noWrap w:val="0"/>
            <w:vAlign w:val="center"/>
          </w:tcPr>
          <w:p w14:paraId="264A1C1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负责省本级定点医药机构协议管理；指导全省医疗保险、生育保险等社会保险经办业务和医保基金与医药企业直接结算工作。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2FE15E8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医药机构申请定点协议管理</w:t>
            </w:r>
          </w:p>
        </w:tc>
        <w:tc>
          <w:tcPr>
            <w:tcW w:w="837" w:type="dxa"/>
            <w:vMerge w:val="restart"/>
            <w:tcBorders>
              <w:top w:val="single" w:color="000000" w:sz="4" w:space="0"/>
              <w:left w:val="single" w:color="000000" w:sz="4" w:space="0"/>
              <w:bottom w:val="single" w:color="000000" w:sz="4" w:space="0"/>
              <w:right w:val="single" w:color="000000" w:sz="4" w:space="0"/>
            </w:tcBorders>
            <w:noWrap w:val="0"/>
            <w:vAlign w:val="center"/>
          </w:tcPr>
          <w:p w14:paraId="50812842">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3700002036028</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35884D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noWrap w:val="0"/>
            <w:vAlign w:val="center"/>
          </w:tcPr>
          <w:p w14:paraId="554002C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三十一条：社会保险经办机构根据管理服务的需要，可以与医疗机构、药品经营单位签订服务协议，规范医疗服务行为。医疗机构应当为参保人员提供合理、必要的医疗服务。</w:t>
            </w:r>
          </w:p>
        </w:tc>
        <w:tc>
          <w:tcPr>
            <w:tcW w:w="485" w:type="dxa"/>
            <w:tcBorders>
              <w:top w:val="single" w:color="000000" w:sz="4" w:space="0"/>
              <w:left w:val="single" w:color="000000" w:sz="4" w:space="0"/>
              <w:right w:val="single" w:color="000000" w:sz="4" w:space="0"/>
            </w:tcBorders>
            <w:noWrap w:val="0"/>
            <w:vAlign w:val="center"/>
          </w:tcPr>
          <w:p w14:paraId="135B4D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noWrap w:val="0"/>
            <w:vAlign w:val="center"/>
          </w:tcPr>
          <w:p w14:paraId="6AA4E149">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按照属地管理原则，负责本统筹地区医药机构申请定点协议管理服务</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4BD11D7C">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12E13FD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方正小标宋简体" w:hAnsi="方正小标宋简体" w:eastAsia="方正小标宋简体" w:cs="方正小标宋简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noWrap w:val="0"/>
            <w:vAlign w:val="center"/>
          </w:tcPr>
          <w:p w14:paraId="34C810A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noWrap w:val="0"/>
            <w:vAlign w:val="center"/>
          </w:tcPr>
          <w:p w14:paraId="3D06AA7A">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r>
      <w:tr w14:paraId="0955CC05">
        <w:tblPrEx>
          <w:tblCellMar>
            <w:top w:w="0" w:type="dxa"/>
            <w:left w:w="57" w:type="dxa"/>
            <w:bottom w:w="0" w:type="dxa"/>
            <w:right w:w="57" w:type="dxa"/>
          </w:tblCellMar>
        </w:tblPrEx>
        <w:trPr>
          <w:trHeight w:val="4000" w:hRule="atLeast"/>
          <w:jc w:val="center"/>
        </w:trPr>
        <w:tc>
          <w:tcPr>
            <w:tcW w:w="573" w:type="dxa"/>
            <w:vMerge w:val="continue"/>
            <w:tcBorders>
              <w:top w:val="single" w:color="auto" w:sz="4" w:space="0"/>
              <w:left w:val="single" w:color="auto" w:sz="4" w:space="0"/>
              <w:bottom w:val="single" w:color="auto" w:sz="4" w:space="0"/>
              <w:right w:val="single" w:color="auto" w:sz="4" w:space="0"/>
            </w:tcBorders>
            <w:noWrap w:val="0"/>
            <w:vAlign w:val="center"/>
          </w:tcPr>
          <w:p w14:paraId="13A762CA">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auto" w:sz="4" w:space="0"/>
              <w:bottom w:val="single" w:color="000000" w:sz="4" w:space="0"/>
              <w:right w:val="single" w:color="000000" w:sz="4" w:space="0"/>
            </w:tcBorders>
            <w:noWrap w:val="0"/>
            <w:vAlign w:val="center"/>
          </w:tcPr>
          <w:p w14:paraId="0AD95088">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40D0AE">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675323">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AC5BC6">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12D19">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4AC1A2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14:paraId="06D8D73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按照属地管理原则，负责本统筹地区医药机构申请定点协议管理服务</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14:paraId="64068B1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3B66FCC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347938">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noWrap w:val="0"/>
            <w:vAlign w:val="center"/>
          </w:tcPr>
          <w:p w14:paraId="098ED720">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r>
      <w:tr w14:paraId="55CDDD6F">
        <w:tblPrEx>
          <w:tblCellMar>
            <w:top w:w="0" w:type="dxa"/>
            <w:left w:w="57" w:type="dxa"/>
            <w:bottom w:w="0" w:type="dxa"/>
            <w:right w:w="57" w:type="dxa"/>
          </w:tblCellMar>
        </w:tblPrEx>
        <w:trPr>
          <w:trHeight w:val="3626" w:hRule="atLeast"/>
          <w:jc w:val="center"/>
        </w:trPr>
        <w:tc>
          <w:tcPr>
            <w:tcW w:w="573" w:type="dxa"/>
            <w:vMerge w:val="restart"/>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544A7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89461">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负责省本级医疗保险、生育保险等社会保险的权益记录、待遇支付、基金管理等经办业务；指导全省医疗保险、生育保险等社会保险经办业务和医保基金与医药企业直接结算工作。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57F3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生育保险待遇核准支付</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0F83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3700002036032</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AC641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ED2A0B">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八条规定：社会保险经办机构提供社会保险服务，负责社会保险登记、个人权益记录、社会保险待遇支付等工作。第七十四条第一款：社会保险经办机构通过业务经办、统计、调查获取社会保险工作所需的数据，有关单位和个人应当及时、如实提供。</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行政法规】《女职工劳动保护特别规定》（2012年4月国务院令第619号）第七条：女职工生育享受98天产假，其中产前可以休假15天；难产的，增加产假15天；生育多胞胎的，每多生育1个婴儿，增加产假15天。女职工怀孕未满4个月流产的，享受15天产假；怀孕满4个月流产的，享受42天产假。第八条：女职工产假期间的生育津贴，对已经参加生育保险的，按照用人单位上年度职工月平均工资的标准由生育保险基金支付；对未参加生育保险的，按照女职工产假前工资的标准由用人单位支付。女职工生育或者流产的医疗费用，按照生育保险规定的项目和标准，对已经参加生育保险的，由生育保险基金支付；对未参加生育保险的，由用人单位支付。</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省政府规章】《山东省女职工劳动保护办法》（2019年1月山东省人民政府令第322号）第十二条：女职工生育享受98天产假，其中产前可以休假15天；难产的，增加产假15天；生育多胞胎的，每多生育1个婴儿，增加产假15天。符合法律、法规规定生育子女的夫妻，依法增加女职工产假60天，给予男方护理假7天。女职工怀孕未满4个月流产的，享受15天产假；怀孕满4个月流产的，享受42天产假。</w:t>
            </w:r>
          </w:p>
        </w:tc>
        <w:tc>
          <w:tcPr>
            <w:tcW w:w="485" w:type="dxa"/>
            <w:tcBorders>
              <w:top w:val="single" w:color="000000" w:sz="4" w:space="0"/>
              <w:left w:val="single" w:color="000000" w:sz="4" w:space="0"/>
              <w:right w:val="single" w:color="000000" w:sz="4" w:space="0"/>
            </w:tcBorders>
            <w:shd w:val="clear" w:color="auto" w:fill="FFFFFF"/>
            <w:noWrap w:val="0"/>
            <w:vAlign w:val="center"/>
          </w:tcPr>
          <w:p w14:paraId="5C2C5A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FFFFFF"/>
            <w:noWrap w:val="0"/>
            <w:vAlign w:val="center"/>
          </w:tcPr>
          <w:p w14:paraId="084ED7F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按照属地管理原则，负责本统筹地区符合生育保险条件的参保职工生育保险待遇核准支付服务</w:t>
            </w:r>
          </w:p>
        </w:tc>
        <w:tc>
          <w:tcPr>
            <w:tcW w:w="3090" w:type="dxa"/>
            <w:tcBorders>
              <w:top w:val="single" w:color="000000" w:sz="4" w:space="0"/>
              <w:left w:val="single" w:color="000000" w:sz="4" w:space="0"/>
              <w:right w:val="single" w:color="000000" w:sz="4" w:space="0"/>
            </w:tcBorders>
            <w:shd w:val="clear" w:color="auto" w:fill="FFFFFF"/>
            <w:noWrap w:val="0"/>
            <w:vAlign w:val="center"/>
          </w:tcPr>
          <w:p w14:paraId="2CF06B8C">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1.完善服务标准，规范服务程序，主动公示办理依据、办理条件、办理程序、办理期限等内容。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5E8F95E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黑体" w:hAnsi="宋体" w:eastAsia="黑体" w:cs="黑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89AC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8E20E">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20608B22">
        <w:tblPrEx>
          <w:tblCellMar>
            <w:top w:w="0" w:type="dxa"/>
            <w:left w:w="57" w:type="dxa"/>
            <w:bottom w:w="0" w:type="dxa"/>
            <w:right w:w="57" w:type="dxa"/>
          </w:tblCellMar>
        </w:tblPrEx>
        <w:trPr>
          <w:trHeight w:val="4580" w:hRule="atLeast"/>
          <w:jc w:val="center"/>
        </w:trPr>
        <w:tc>
          <w:tcPr>
            <w:tcW w:w="573" w:type="dxa"/>
            <w:vMerge w:val="continue"/>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F7D582F">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01344">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61FA2">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96F29">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5B8188">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9B1F7C">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A3C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21C9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按照属地管理原则，负责本统筹地区符合生育保险条件的参保职工生育保险待遇核准支付服务</w:t>
            </w:r>
          </w:p>
        </w:tc>
        <w:tc>
          <w:tcPr>
            <w:tcW w:w="30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30775">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53B5E3B8">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F39E4">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F53113">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r>
      <w:tr w14:paraId="6386AB46">
        <w:tblPrEx>
          <w:tblCellMar>
            <w:top w:w="0" w:type="dxa"/>
            <w:left w:w="57" w:type="dxa"/>
            <w:bottom w:w="0" w:type="dxa"/>
            <w:right w:w="57" w:type="dxa"/>
          </w:tblCellMar>
        </w:tblPrEx>
        <w:trPr>
          <w:trHeight w:val="3993" w:hRule="atLeast"/>
          <w:jc w:val="center"/>
        </w:trPr>
        <w:tc>
          <w:tcPr>
            <w:tcW w:w="573" w:type="dxa"/>
            <w:vMerge w:val="restart"/>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17865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282AFC">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负责省本级医疗保险、生育保险等社会保险的权益记录、待遇支付、基金管理等经办业务；指导全省医疗保险、生育保险等社会保险经办业务和医保基金与医药企业直接结算工作。</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AA83C0">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基本医疗保险参保人员医疗费用手工（零星）报销</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F2A72F">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3700002036033</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2CA5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公共服务</w:t>
            </w:r>
          </w:p>
        </w:tc>
        <w:tc>
          <w:tcPr>
            <w:tcW w:w="404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7CA86">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二十八条：符合基本医疗保险药品目录、诊疗项目、医疗服务设施标准以及急诊、抢救的医疗费用，按照国家规定从基本医疗保险基金中支付。第三十条：下列医疗费用不纳入基本医疗保险基金支付范围：（一）应当从工伤保险基金中支付的；（二）应当由第三人负担的；（三）应当由公共卫生负担的；（四）在境外就医的。医疗费用依法应当由第三人负担，第三人不支付或者无法确定第三人的，由基本医疗保险基金先行支付。基本医疗保险基金先行支付后，有权向第三人追偿。</w:t>
            </w:r>
          </w:p>
        </w:tc>
        <w:tc>
          <w:tcPr>
            <w:tcW w:w="485" w:type="dxa"/>
            <w:tcBorders>
              <w:top w:val="single" w:color="000000" w:sz="4" w:space="0"/>
              <w:left w:val="single" w:color="000000" w:sz="4" w:space="0"/>
              <w:right w:val="single" w:color="000000" w:sz="4" w:space="0"/>
            </w:tcBorders>
            <w:shd w:val="clear" w:color="auto" w:fill="FFFFFF"/>
            <w:noWrap w:val="0"/>
            <w:vAlign w:val="center"/>
          </w:tcPr>
          <w:p w14:paraId="3502DC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市</w:t>
            </w:r>
          </w:p>
        </w:tc>
        <w:tc>
          <w:tcPr>
            <w:tcW w:w="1441" w:type="dxa"/>
            <w:tcBorders>
              <w:top w:val="single" w:color="000000" w:sz="4" w:space="0"/>
              <w:left w:val="single" w:color="000000" w:sz="4" w:space="0"/>
              <w:right w:val="single" w:color="000000" w:sz="4" w:space="0"/>
            </w:tcBorders>
            <w:shd w:val="clear" w:color="auto" w:fill="auto"/>
            <w:noWrap w:val="0"/>
            <w:vAlign w:val="center"/>
          </w:tcPr>
          <w:p w14:paraId="23ED0B8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w:t>
            </w:r>
            <w:r>
              <w:rPr>
                <w:rFonts w:hint="eastAsia" w:ascii="宋体" w:hAnsi="宋体" w:eastAsia="宋体" w:cs="宋体"/>
                <w:i w:val="0"/>
                <w:iCs w:val="0"/>
                <w:color w:val="auto"/>
                <w:spacing w:val="-6"/>
                <w:kern w:val="0"/>
                <w:sz w:val="20"/>
                <w:szCs w:val="20"/>
                <w:u w:val="none"/>
                <w:lang w:val="en-US" w:eastAsia="zh-CN" w:bidi="ar"/>
              </w:rPr>
              <w:t>照属地管理原则，负责本统筹地区基本医疗保险参保人员医疗费用手工（零星）报销</w:t>
            </w:r>
          </w:p>
        </w:tc>
        <w:tc>
          <w:tcPr>
            <w:tcW w:w="3090" w:type="dxa"/>
            <w:tcBorders>
              <w:top w:val="single" w:color="000000" w:sz="4" w:space="0"/>
              <w:left w:val="single" w:color="000000" w:sz="4" w:space="0"/>
              <w:right w:val="single" w:color="000000" w:sz="4" w:space="0"/>
            </w:tcBorders>
            <w:shd w:val="clear" w:color="auto" w:fill="auto"/>
            <w:noWrap w:val="0"/>
            <w:vAlign w:val="center"/>
          </w:tcPr>
          <w:p w14:paraId="1F3BEBC4">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68788D13">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方正小标宋简体" w:hAnsi="方正小标宋简体" w:eastAsia="方正小标宋简体" w:cs="方正小标宋简体"/>
                <w:i w:val="0"/>
                <w:iCs w:val="0"/>
                <w:color w:val="auto"/>
                <w:sz w:val="20"/>
                <w:szCs w:val="20"/>
                <w:u w:val="none"/>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r>
              <w:rPr>
                <w:rStyle w:val="26"/>
                <w:color w:val="auto"/>
                <w:sz w:val="20"/>
                <w:szCs w:val="20"/>
                <w:lang w:val="en-US" w:eastAsia="zh-CN" w:bidi="ar"/>
              </w:rPr>
              <w:br w:type="textWrapping"/>
            </w:r>
            <w:r>
              <w:rPr>
                <w:rFonts w:hint="eastAsia" w:ascii="黑体" w:hAnsi="宋体" w:eastAsia="黑体" w:cs="黑体"/>
                <w:i w:val="0"/>
                <w:iCs w:val="0"/>
                <w:color w:val="auto"/>
                <w:kern w:val="0"/>
                <w:sz w:val="20"/>
                <w:szCs w:val="20"/>
                <w:u w:val="none"/>
                <w:lang w:val="en-US" w:eastAsia="zh-CN" w:bidi="ar"/>
              </w:rPr>
              <w:t>指导监督责任：</w:t>
            </w:r>
            <w:r>
              <w:rPr>
                <w:rStyle w:val="26"/>
                <w:color w:val="auto"/>
                <w:sz w:val="20"/>
                <w:szCs w:val="20"/>
                <w:lang w:val="en-US" w:eastAsia="zh-CN" w:bidi="ar"/>
              </w:rPr>
              <w:br w:type="textWrapping"/>
            </w:r>
            <w:r>
              <w:rPr>
                <w:rStyle w:val="26"/>
                <w:rFonts w:hint="eastAsia"/>
                <w:color w:val="auto"/>
                <w:sz w:val="20"/>
                <w:szCs w:val="20"/>
                <w:lang w:val="en-US" w:eastAsia="zh-CN" w:bidi="ar"/>
              </w:rPr>
              <w:t>4.</w:t>
            </w:r>
            <w:r>
              <w:rPr>
                <w:rStyle w:val="26"/>
                <w:color w:val="auto"/>
                <w:sz w:val="20"/>
                <w:szCs w:val="20"/>
                <w:lang w:val="en-US" w:eastAsia="zh-CN" w:bidi="ar"/>
              </w:rPr>
              <w:t>指导下级经办机构依法依规提供公共服务，不断改进服务质量。</w:t>
            </w:r>
          </w:p>
        </w:tc>
        <w:tc>
          <w:tcPr>
            <w:tcW w:w="183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47657D">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法律】《中华人民共和国社会保险法》（2018年12月修正）第九十二条：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第九十三条：国家工作人员在社会保险管理、监督工作中滥用职权、玩忽职守、徇私舞弊的，依法给予处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2.【法律】《中华人民共和国监察法》（2018年3月通过）规定的追责情形。</w:t>
            </w: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00F07">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p w14:paraId="2FE2184A">
            <w:pPr>
              <w:pStyle w:val="10"/>
              <w:rPr>
                <w:rFonts w:hint="eastAsia"/>
              </w:rPr>
            </w:pPr>
          </w:p>
        </w:tc>
      </w:tr>
      <w:tr w14:paraId="1A52BEC5">
        <w:tblPrEx>
          <w:tblCellMar>
            <w:top w:w="0" w:type="dxa"/>
            <w:left w:w="57" w:type="dxa"/>
            <w:bottom w:w="0" w:type="dxa"/>
            <w:right w:w="57" w:type="dxa"/>
          </w:tblCellMar>
        </w:tblPrEx>
        <w:trPr>
          <w:trHeight w:val="3980" w:hRule="atLeast"/>
          <w:jc w:val="center"/>
        </w:trPr>
        <w:tc>
          <w:tcPr>
            <w:tcW w:w="573" w:type="dxa"/>
            <w:vMerge w:val="continue"/>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5D0F2D2">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343413">
            <w:pPr>
              <w:keepNext w:val="0"/>
              <w:keepLines w:val="0"/>
              <w:pageBreakBefore w:val="0"/>
              <w:widowControl/>
              <w:kinsoku/>
              <w:wordWrap/>
              <w:overflowPunct/>
              <w:topLinePunct w:val="0"/>
              <w:autoSpaceDE/>
              <w:autoSpaceDN/>
              <w:bidi w:val="0"/>
              <w:adjustRightInd/>
              <w:snapToGrid/>
              <w:spacing w:after="0" w:line="260" w:lineRule="exact"/>
              <w:rPr>
                <w:rFonts w:hint="eastAsia" w:ascii="宋体" w:hAnsi="宋体" w:eastAsia="宋体" w:cs="宋体"/>
                <w:i w:val="0"/>
                <w:iCs w:val="0"/>
                <w:color w:val="auto"/>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036EB6">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FE16D">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5A0AE">
            <w:pPr>
              <w:keepNext w:val="0"/>
              <w:keepLines w:val="0"/>
              <w:pageBreakBefore w:val="0"/>
              <w:widowControl/>
              <w:kinsoku/>
              <w:wordWrap/>
              <w:overflowPunct/>
              <w:topLinePunct w:val="0"/>
              <w:autoSpaceDE/>
              <w:autoSpaceDN/>
              <w:bidi w:val="0"/>
              <w:adjustRightInd/>
              <w:snapToGrid/>
              <w:spacing w:after="0" w:line="260" w:lineRule="exact"/>
              <w:jc w:val="center"/>
              <w:rPr>
                <w:rFonts w:hint="eastAsia" w:ascii="宋体" w:hAnsi="宋体" w:eastAsia="宋体" w:cs="宋体"/>
                <w:i w:val="0"/>
                <w:iCs w:val="0"/>
                <w:color w:val="auto"/>
                <w:sz w:val="20"/>
                <w:szCs w:val="20"/>
                <w:u w:val="none"/>
              </w:rPr>
            </w:pPr>
          </w:p>
        </w:tc>
        <w:tc>
          <w:tcPr>
            <w:tcW w:w="404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F286A2">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CBE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县</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7393F">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按照属地管理原则，负责本统筹地区基本医疗保险参保人员医疗费用手工（零星）报销</w:t>
            </w:r>
          </w:p>
        </w:tc>
        <w:tc>
          <w:tcPr>
            <w:tcW w:w="3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5E33E">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color w:val="auto"/>
                <w:sz w:val="20"/>
                <w:szCs w:val="20"/>
                <w:lang w:val="en-US" w:eastAsia="zh-CN" w:bidi="ar"/>
              </w:rPr>
            </w:pPr>
            <w:r>
              <w:rPr>
                <w:rFonts w:hint="eastAsia" w:ascii="黑体" w:hAnsi="宋体" w:eastAsia="黑体" w:cs="黑体"/>
                <w:i w:val="0"/>
                <w:iCs w:val="0"/>
                <w:color w:val="auto"/>
                <w:kern w:val="0"/>
                <w:sz w:val="20"/>
                <w:szCs w:val="20"/>
                <w:u w:val="none"/>
                <w:lang w:val="en-US" w:eastAsia="zh-CN" w:bidi="ar"/>
              </w:rPr>
              <w:t>直接实施责任：</w:t>
            </w:r>
            <w:r>
              <w:rPr>
                <w:rStyle w:val="26"/>
                <w:color w:val="auto"/>
                <w:sz w:val="20"/>
                <w:szCs w:val="20"/>
                <w:lang w:val="en-US" w:eastAsia="zh-CN" w:bidi="ar"/>
              </w:rPr>
              <w:br w:type="textWrapping"/>
            </w:r>
            <w:r>
              <w:rPr>
                <w:rStyle w:val="26"/>
                <w:color w:val="auto"/>
                <w:sz w:val="20"/>
                <w:szCs w:val="20"/>
                <w:lang w:val="en-US" w:eastAsia="zh-CN" w:bidi="ar"/>
              </w:rPr>
              <w:t>1.主动公示办理依据、办理条件、办理程序、办理期限等内容。</w:t>
            </w:r>
            <w:r>
              <w:rPr>
                <w:rStyle w:val="26"/>
                <w:color w:val="auto"/>
                <w:sz w:val="20"/>
                <w:szCs w:val="20"/>
                <w:lang w:val="en-US" w:eastAsia="zh-CN" w:bidi="ar"/>
              </w:rPr>
              <w:br w:type="textWrapping"/>
            </w:r>
            <w:r>
              <w:rPr>
                <w:rStyle w:val="26"/>
                <w:color w:val="auto"/>
                <w:sz w:val="20"/>
                <w:szCs w:val="20"/>
                <w:lang w:val="en-US" w:eastAsia="zh-CN" w:bidi="ar"/>
              </w:rPr>
              <w:t>2.依法依规提供公共服务，及时准确公开服务信息、服务结果。</w:t>
            </w:r>
          </w:p>
          <w:p w14:paraId="1DAB8C0B">
            <w:pPr>
              <w:keepNext w:val="0"/>
              <w:keepLines w:val="0"/>
              <w:pageBreakBefore w:val="0"/>
              <w:widowControl/>
              <w:suppressLineNumbers w:val="0"/>
              <w:kinsoku/>
              <w:wordWrap/>
              <w:overflowPunct/>
              <w:topLinePunct w:val="0"/>
              <w:autoSpaceDE/>
              <w:autoSpaceDN/>
              <w:bidi w:val="0"/>
              <w:adjustRightInd/>
              <w:snapToGrid/>
              <w:spacing w:line="260" w:lineRule="exact"/>
              <w:ind w:left="42" w:leftChars="20" w:right="42" w:rightChars="20"/>
              <w:jc w:val="both"/>
              <w:textAlignment w:val="center"/>
              <w:rPr>
                <w:rStyle w:val="26"/>
                <w:rFonts w:hint="eastAsia"/>
                <w:color w:val="auto"/>
                <w:sz w:val="20"/>
                <w:szCs w:val="20"/>
                <w:lang w:val="en-US" w:eastAsia="zh-CN" w:bidi="ar"/>
              </w:rPr>
            </w:pPr>
            <w:r>
              <w:rPr>
                <w:rStyle w:val="26"/>
                <w:rFonts w:hint="eastAsia" w:ascii="宋体" w:hAnsi="宋体" w:eastAsia="宋体" w:cs="宋体"/>
                <w:color w:val="auto"/>
                <w:sz w:val="20"/>
                <w:szCs w:val="20"/>
                <w:lang w:val="en-US" w:eastAsia="zh-CN" w:bidi="ar"/>
              </w:rPr>
              <w:t>3.建立健全审核制度，对服务对象提供的信息进行审核，对服务对象的不当行为进行纠正。</w:t>
            </w:r>
          </w:p>
        </w:tc>
        <w:tc>
          <w:tcPr>
            <w:tcW w:w="183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AA141C">
            <w:pPr>
              <w:keepNext w:val="0"/>
              <w:keepLines w:val="0"/>
              <w:pageBreakBefore w:val="0"/>
              <w:widowControl/>
              <w:kinsoku/>
              <w:wordWrap/>
              <w:overflowPunct/>
              <w:topLinePunct w:val="0"/>
              <w:autoSpaceDE/>
              <w:autoSpaceDN/>
              <w:bidi w:val="0"/>
              <w:adjustRightInd/>
              <w:snapToGrid/>
              <w:spacing w:after="0" w:line="260" w:lineRule="exact"/>
              <w:jc w:val="left"/>
              <w:rPr>
                <w:rFonts w:hint="eastAsia" w:ascii="宋体" w:hAnsi="宋体" w:eastAsia="宋体" w:cs="宋体"/>
                <w:i w:val="0"/>
                <w:iCs w:val="0"/>
                <w:color w:val="auto"/>
                <w:sz w:val="20"/>
                <w:szCs w:val="20"/>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54462">
            <w:pPr>
              <w:pStyle w:val="10"/>
              <w:rPr>
                <w:rFonts w:hint="eastAsia"/>
              </w:rPr>
            </w:pPr>
          </w:p>
        </w:tc>
      </w:tr>
    </w:tbl>
    <w:p w14:paraId="319F0C40">
      <w:pPr>
        <w:keepNext w:val="0"/>
        <w:keepLines w:val="0"/>
        <w:pageBreakBefore w:val="0"/>
        <w:widowControl w:val="0"/>
        <w:kinsoku w:val="0"/>
        <w:wordWrap/>
        <w:overflowPunct w:val="0"/>
        <w:topLinePunct w:val="0"/>
        <w:autoSpaceDE w:val="0"/>
        <w:autoSpaceDN/>
        <w:bidi w:val="0"/>
        <w:adjustRightInd w:val="0"/>
        <w:snapToGrid w:val="0"/>
        <w:spacing w:line="200" w:lineRule="exact"/>
        <w:textAlignment w:val="baseline"/>
        <w:rPr>
          <w:rFonts w:hint="eastAsia"/>
          <w:lang w:val="en-US" w:eastAsia="zh-CN"/>
        </w:rPr>
        <w:sectPr>
          <w:pgSz w:w="16838" w:h="11906" w:orient="landscape"/>
          <w:pgMar w:top="1474" w:right="1984" w:bottom="1474" w:left="1984" w:header="851" w:footer="964" w:gutter="0"/>
          <w:pgBorders>
            <w:top w:val="none" w:sz="0" w:space="0"/>
            <w:left w:val="none" w:sz="0" w:space="0"/>
            <w:bottom w:val="none" w:sz="0" w:space="0"/>
            <w:right w:val="none" w:sz="0" w:space="0"/>
          </w:pgBorders>
          <w:pgNumType w:fmt="decimal"/>
          <w:cols w:space="0" w:num="1"/>
          <w:rtlGutter w:val="0"/>
          <w:docGrid w:type="lines" w:linePitch="315" w:charSpace="0"/>
        </w:sectPr>
      </w:pPr>
    </w:p>
    <w:p w14:paraId="77332AC1">
      <w:pPr>
        <w:pStyle w:val="10"/>
        <w:rPr>
          <w:rFonts w:hint="eastAsia"/>
          <w:lang w:val="en-US" w:eastAsia="zh-CN"/>
        </w:rPr>
      </w:pPr>
    </w:p>
    <w:p w14:paraId="478F3EC6">
      <w:pPr>
        <w:pStyle w:val="10"/>
        <w:rPr>
          <w:rFonts w:hint="eastAsia"/>
          <w:lang w:val="en-US" w:eastAsia="zh-CN"/>
        </w:rPr>
      </w:pPr>
    </w:p>
    <w:p w14:paraId="1EDBABDA">
      <w:pPr>
        <w:rPr>
          <w:rFonts w:hint="eastAsia"/>
          <w:lang w:val="en-US" w:eastAsia="zh-CN"/>
        </w:rPr>
      </w:pPr>
    </w:p>
    <w:p w14:paraId="226886ED">
      <w:pPr>
        <w:pStyle w:val="10"/>
        <w:rPr>
          <w:rFonts w:hint="eastAsia"/>
          <w:lang w:val="en-US" w:eastAsia="zh-CN"/>
        </w:rPr>
      </w:pPr>
    </w:p>
    <w:p w14:paraId="53FD4177">
      <w:pPr>
        <w:rPr>
          <w:rFonts w:hint="eastAsia"/>
          <w:lang w:val="en-US" w:eastAsia="zh-CN"/>
        </w:rPr>
      </w:pPr>
    </w:p>
    <w:p w14:paraId="5EB2062B">
      <w:pPr>
        <w:pStyle w:val="10"/>
        <w:rPr>
          <w:rFonts w:hint="eastAsia"/>
          <w:lang w:val="en-US" w:eastAsia="zh-CN"/>
        </w:rPr>
      </w:pPr>
    </w:p>
    <w:p w14:paraId="2AD8B5A8">
      <w:pPr>
        <w:rPr>
          <w:rFonts w:hint="eastAsia"/>
          <w:lang w:val="en-US" w:eastAsia="zh-CN"/>
        </w:rPr>
      </w:pPr>
    </w:p>
    <w:p w14:paraId="5F6D13D5">
      <w:pPr>
        <w:pStyle w:val="10"/>
        <w:rPr>
          <w:rFonts w:hint="eastAsia"/>
          <w:lang w:val="en-US" w:eastAsia="zh-CN"/>
        </w:rPr>
      </w:pPr>
    </w:p>
    <w:p w14:paraId="66BEFCC1">
      <w:pPr>
        <w:rPr>
          <w:rFonts w:hint="eastAsia"/>
          <w:lang w:val="en-US" w:eastAsia="zh-CN"/>
        </w:rPr>
      </w:pPr>
    </w:p>
    <w:p w14:paraId="018A972F">
      <w:pPr>
        <w:pStyle w:val="10"/>
        <w:rPr>
          <w:rFonts w:hint="eastAsia"/>
          <w:lang w:val="en-US" w:eastAsia="zh-CN"/>
        </w:rPr>
      </w:pPr>
    </w:p>
    <w:p w14:paraId="3877A62E">
      <w:pPr>
        <w:rPr>
          <w:rFonts w:hint="eastAsia"/>
          <w:lang w:val="en-US" w:eastAsia="zh-CN"/>
        </w:rPr>
      </w:pPr>
    </w:p>
    <w:p w14:paraId="4D8875EE">
      <w:pPr>
        <w:pStyle w:val="10"/>
        <w:rPr>
          <w:rFonts w:hint="eastAsia"/>
          <w:lang w:val="en-US" w:eastAsia="zh-CN"/>
        </w:rPr>
      </w:pPr>
    </w:p>
    <w:p w14:paraId="1E396DDD">
      <w:pPr>
        <w:rPr>
          <w:rFonts w:hint="eastAsia"/>
          <w:lang w:val="en-US" w:eastAsia="zh-CN"/>
        </w:rPr>
      </w:pPr>
    </w:p>
    <w:p w14:paraId="2E60595B">
      <w:pPr>
        <w:pStyle w:val="10"/>
        <w:rPr>
          <w:rFonts w:hint="eastAsia"/>
          <w:lang w:val="en-US" w:eastAsia="zh-CN"/>
        </w:rPr>
      </w:pPr>
    </w:p>
    <w:p w14:paraId="63B45846">
      <w:pPr>
        <w:rPr>
          <w:rFonts w:hint="eastAsia"/>
          <w:lang w:val="en-US" w:eastAsia="zh-CN"/>
        </w:rPr>
      </w:pPr>
    </w:p>
    <w:p w14:paraId="4B07BE7C">
      <w:pPr>
        <w:pStyle w:val="10"/>
        <w:rPr>
          <w:rFonts w:hint="eastAsia"/>
          <w:lang w:val="en-US" w:eastAsia="zh-CN"/>
        </w:rPr>
      </w:pPr>
    </w:p>
    <w:p w14:paraId="4637CD7B">
      <w:pPr>
        <w:rPr>
          <w:rFonts w:hint="eastAsia"/>
          <w:lang w:val="en-US" w:eastAsia="zh-CN"/>
        </w:rPr>
      </w:pPr>
    </w:p>
    <w:p w14:paraId="0C8B316F">
      <w:pPr>
        <w:pStyle w:val="10"/>
        <w:rPr>
          <w:rFonts w:hint="eastAsia"/>
          <w:lang w:val="en-US" w:eastAsia="zh-CN"/>
        </w:rPr>
      </w:pPr>
    </w:p>
    <w:p w14:paraId="17395488">
      <w:pPr>
        <w:rPr>
          <w:rFonts w:hint="eastAsia"/>
          <w:lang w:val="en-US" w:eastAsia="zh-CN"/>
        </w:rPr>
      </w:pPr>
    </w:p>
    <w:p w14:paraId="242FB34E">
      <w:pPr>
        <w:pStyle w:val="10"/>
        <w:rPr>
          <w:rFonts w:hint="eastAsia"/>
          <w:lang w:val="en-US" w:eastAsia="zh-CN"/>
        </w:rPr>
      </w:pPr>
    </w:p>
    <w:p w14:paraId="03691A26">
      <w:pPr>
        <w:rPr>
          <w:rFonts w:hint="eastAsia"/>
          <w:lang w:val="en-US" w:eastAsia="zh-CN"/>
        </w:rPr>
      </w:pPr>
    </w:p>
    <w:p w14:paraId="5F62424B">
      <w:pPr>
        <w:pStyle w:val="10"/>
        <w:rPr>
          <w:rFonts w:hint="eastAsia"/>
          <w:lang w:val="en-US" w:eastAsia="zh-CN"/>
        </w:rPr>
      </w:pPr>
    </w:p>
    <w:p w14:paraId="0544D78B">
      <w:pPr>
        <w:rPr>
          <w:rFonts w:hint="eastAsia"/>
          <w:lang w:val="en-US" w:eastAsia="zh-CN"/>
        </w:rPr>
      </w:pPr>
    </w:p>
    <w:p w14:paraId="36E2DE67">
      <w:pPr>
        <w:pStyle w:val="10"/>
        <w:rPr>
          <w:rFonts w:hint="eastAsia"/>
          <w:lang w:val="en-US" w:eastAsia="zh-CN"/>
        </w:rPr>
      </w:pPr>
    </w:p>
    <w:p w14:paraId="13A87F3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lang w:val="en-US" w:eastAsia="zh-CN"/>
        </w:rPr>
      </w:pPr>
      <w:r>
        <w:rPr>
          <w:rFonts w:ascii="仿宋" w:hAnsi="仿宋" w:eastAsia="仿宋" w:cs="仿宋"/>
          <w:sz w:val="30"/>
          <w:szCs w:val="30"/>
          <w:u w:val="thick"/>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316230</wp:posOffset>
                </wp:positionV>
                <wp:extent cx="5634990" cy="2540"/>
                <wp:effectExtent l="0" t="0" r="0" b="0"/>
                <wp:wrapNone/>
                <wp:docPr id="2" name="直接箭头连接符 2"/>
                <wp:cNvGraphicFramePr/>
                <a:graphic xmlns:a="http://schemas.openxmlformats.org/drawingml/2006/main">
                  <a:graphicData uri="http://schemas.microsoft.com/office/word/2010/wordprocessingShape">
                    <wps:wsp>
                      <wps:cNvCnPr/>
                      <wps:spPr>
                        <a:xfrm flipV="1">
                          <a:off x="0" y="0"/>
                          <a:ext cx="5634990" cy="254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0.9pt;margin-top:24.9pt;height:0.2pt;width:443.7pt;z-index:251662336;mso-width-relative:page;mso-height-relative:page;" filled="f" stroked="t" coordsize="21600,21600" o:gfxdata="UEsDBAoAAAAAAIdO4kAAAAAAAAAAAAAAAAAEAAAAZHJzL1BLAwQUAAAACACHTuJAsgnWctkAAAAI&#10;AQAADwAAAGRycy9kb3ducmV2LnhtbE2PO0/DQBCEeyT+w2mR6JI7B2KM8ToFUQqkFCRQUF58i21x&#10;D8d3ecCvZ6lCtRrNaObbanF2VhxpjH3wCNlUgSDfBNP7FuH9bTUpQMSkvdE2eEL4pgiL+vqq0qUJ&#10;J7+h4za1gkt8LDVCl9JQShmbjpyO0zCQZ+8zjE4nlmMrzahPXO6snCmVS6d7zwudHui5o+Zre3AI&#10;Ku4363V42H/kdy/21fXL1XL8Qby9ydQTiETndAnDHz6jQ81Mu3DwJgqLMMmYPCHcP/JlvyjmOYgd&#10;wlzNQNaV/P9A/QtQSwMEFAAAAAgAh07iQIGkqxIIAgAA+gMAAA4AAABkcnMvZTJvRG9jLnhtbK1T&#10;S44TMRDdI3EHy3vSmTAZkVY6s0gYNggi8dk7/nRb8k8uTzq5BBdAYgWsgNXsOQ0Mx6DsDgGGTRb0&#10;olV2uV6991yeX+6sIVsZQXvX0LPRmBLpuBfatQ199fLqwSNKIDEnmPFONnQvgV4u7t+b96GWE995&#10;I2QkCOKg7kNDu5RCXVXAO2kZjHyQDpPKR8sSLmNbich6RLemmozHF1XvowjRcwmAu6shSQ+I8RRA&#10;r5TmcuX5tZUuDahRGpZQEnQ6AF0UtkpJnp4rBTIR01BUmsofm2C8yf9qMWd1G1noND9QYKdQuKPJ&#10;Mu2w6RFqxRIj11H/A2U1jx68SiPubTUIKY6girPxHW9edCzIogWthnA0Hf4fLH+2XUeiRUMnlDhm&#10;8cJv3958f/Ph9svnb+9vfnx9l+NPH8kkW9UHqLFi6dbxsIKwjln3TkVLlNHhNc5UcQK1kV0xen80&#10;Wu4S4bg5vXh4PpvhHXDMTabn5R6qASWjhQjpifSW5KChkCLTbZeW3jm8UR+HDmz7FBLywMJfBbnY&#10;ONIjidl4mhswHFGFo4GhDSgTXFvogTdaXGljcgnEdrM0kWxZHpPyZbkI/Nex3GXFoBvOldQwQJ1k&#10;4rETJO0DGujw3dDMwUpBiZH4zHKEgKxOTJtTTmJr45BBdnzwOEcbL/bF+rKPI1E4HsY3z9yf61L9&#10;+8ku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yCdZy2QAAAAgBAAAPAAAAAAAAAAEAIAAAACIA&#10;AABkcnMvZG93bnJldi54bWxQSwECFAAUAAAACACHTuJAgaSrEggCAAD6AwAADgAAAAAAAAABACAA&#10;AAAoAQAAZHJzL2Uyb0RvYy54bWxQSwUGAAAAAAYABgBZAQAAogUAAAAA&#10;">
                <v:fill on="f" focussize="0,0"/>
                <v:stroke weight="1.5pt" color="#000000" joinstyle="round"/>
                <v:imagedata o:title=""/>
                <o:lock v:ext="edit" aspectratio="f"/>
              </v:shape>
            </w:pict>
          </mc:Fallback>
        </mc:AlternateContent>
      </w:r>
    </w:p>
    <w:p w14:paraId="30506CD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ascii="仿宋_GB2312" w:hAnsi="仿宋_GB2312" w:eastAsia="仿宋_GB2312" w:cs="仿宋_GB2312"/>
          <w:kern w:val="10"/>
          <w:position w:val="-11"/>
          <w:sz w:val="30"/>
          <w:szCs w:val="30"/>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403225</wp:posOffset>
                </wp:positionV>
                <wp:extent cx="5687695" cy="635"/>
                <wp:effectExtent l="0" t="0" r="0" b="0"/>
                <wp:wrapNone/>
                <wp:docPr id="10" name="直接箭头连接符 10"/>
                <wp:cNvGraphicFramePr/>
                <a:graphic xmlns:a="http://schemas.openxmlformats.org/drawingml/2006/main">
                  <a:graphicData uri="http://schemas.microsoft.com/office/word/2010/wordprocessingShape">
                    <wps:wsp>
                      <wps:cNvCnPr/>
                      <wps:spPr>
                        <a:xfrm>
                          <a:off x="0" y="0"/>
                          <a:ext cx="5687695"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pt;margin-top:31.75pt;height:0.05pt;width:447.85pt;z-index:251661312;mso-width-relative:page;mso-height-relative:page;" filled="f" stroked="t" coordsize="21600,21600" o:gfxdata="UEsDBAoAAAAAAIdO4kAAAAAAAAAAAAAAAAAEAAAAZHJzL1BLAwQUAAAACACHTuJAdvZqqNQAAAAI&#10;AQAADwAAAGRycy9kb3ducmV2LnhtbE2PvU7EMBCEeyTewVokGnTnhB8rhDhXIFFREA4eYBMvSUS8&#10;jmLnYt4eXwXl7Ixmvq0O0U7iRIsfHWvI9xkI4s6ZkXsNnx8vuwKED8gGJ8ek4Yc8HOrLiwpL4zZ+&#10;p9Mx9CKVsC9RwxDCXErpu4Es+r2biZP35RaLIcmll2bBLZXbSd5mmZIWR04LA870PFD3fVythvim&#10;OMSmiO3G66svbpqIttH6+irPnkAEiuEvDGf8hA51YmrdysaLScPuXqWkBnX3ACL5xWOeg2jPBwWy&#10;ruT/B+pfUEsDBBQAAAAIAIdO4kB1Jf00/wEAAPEDAAAOAAAAZHJzL2Uyb0RvYy54bWytU82O0zAQ&#10;viPxDpbvNO2ilt2o6R5alguCSsADTB0nseQ/ebxN+xK8ABIn4ASc9s7TwPIYjJ3SheXSAzk4Y8/M&#10;N/N9Hs8vd0azrQyonK34ZDTmTFrhamXbir95ffXonDOMYGvQzsqK7yXyy8XDB/Pel/LMdU7XMjAC&#10;sVj2vuJdjL4sChSdNIAj56UlZ+OCgUjb0BZ1gJ7QjS7OxuNZ0btQ++CERKTT1eDkB8RwCqBrGiXk&#10;yolrI20cUIPUEIkSdsojX+Rum0aK+LJpUEamK05MY16pCNmbtBaLOZRtAN8pcWgBTmnhHicDylLR&#10;I9QKIrDroP6BMkoEh66JI+FMMRDJihCLyfieNq868DJzIanRH0XH/wcrXmzXgamaJoEksWDoxm/f&#10;3fx4+/H265fvH25+fnuf7M+fGPlJrN5jSTlLuw6HHfp1SMx3TTDpT5zYLgu8Pwosd5EJOpzOzp/M&#10;LqacCfLNHk8TYnGX6gPGZ9IZloyKYwyg2i4unbV0kS5MssSwfY5xSPydkOpqy3picTGeEhEBNJkN&#10;TQSZxhM7tG1ORqdVfaW0TikY2s1SB7aFNB35O3T0V1iqsgLshrjsSmFQdhLqp7Zmce9JNkvPhace&#10;jKw505JeV7JyZASlT4kkMbQlTZLMg7DJ2rh6n/XO5zQJWbXD1KZR+3Ofs+9e6uI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vZqqNQAAAAIAQAADwAAAAAAAAABACAAAAAiAAAAZHJzL2Rvd25yZXYu&#10;eG1sUEsBAhQAFAAAAAgAh07iQHUl/TT/AQAA8QMAAA4AAAAAAAAAAQAgAAAAIwEAAGRycy9lMm9E&#10;b2MueG1sUEsFBgAAAAAGAAYAWQEAAJQ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kern w:val="10"/>
          <w:position w:val="-11"/>
          <w:sz w:val="28"/>
          <w:szCs w:val="28"/>
          <w:lang w:val="en-US" w:eastAsia="zh-CN"/>
        </w:rPr>
        <w:t xml:space="preserve"> </w:t>
      </w:r>
      <w:r>
        <w:rPr>
          <w:rFonts w:hint="eastAsia" w:ascii="仿宋_GB2312" w:hAnsi="仿宋_GB2312" w:eastAsia="仿宋_GB2312" w:cs="仿宋_GB2312"/>
          <w:kern w:val="10"/>
          <w:position w:val="-11"/>
          <w:sz w:val="28"/>
          <w:szCs w:val="28"/>
        </w:rPr>
        <w:t>枣庄市医疗保障局</w:t>
      </w:r>
      <w:r>
        <w:rPr>
          <w:rFonts w:hint="eastAsia" w:ascii="仿宋_GB2312" w:hAnsi="仿宋_GB2312" w:eastAsia="仿宋_GB2312" w:cs="仿宋_GB2312"/>
          <w:kern w:val="10"/>
          <w:position w:val="-11"/>
          <w:sz w:val="28"/>
          <w:szCs w:val="28"/>
          <w:lang w:eastAsia="zh-CN"/>
        </w:rPr>
        <w:t>综合科</w:t>
      </w:r>
      <w:r>
        <w:rPr>
          <w:rFonts w:hint="eastAsia" w:ascii="仿宋_GB2312" w:hAnsi="仿宋_GB2312" w:eastAsia="仿宋_GB2312" w:cs="仿宋_GB2312"/>
          <w:kern w:val="10"/>
          <w:position w:val="-11"/>
          <w:sz w:val="28"/>
          <w:szCs w:val="28"/>
          <w:lang w:val="en-US" w:eastAsia="zh-CN"/>
        </w:rPr>
        <w:t xml:space="preserve">                    </w:t>
      </w:r>
      <w:r>
        <w:rPr>
          <w:rFonts w:hint="eastAsia" w:ascii="仿宋_GB2312" w:hAnsi="仿宋_GB2312" w:eastAsia="仿宋_GB2312" w:cs="仿宋_GB2312"/>
          <w:position w:val="-8"/>
          <w:sz w:val="28"/>
          <w:szCs w:val="28"/>
        </w:rPr>
        <w:t>202</w:t>
      </w:r>
      <w:r>
        <w:rPr>
          <w:rFonts w:hint="eastAsia" w:ascii="仿宋_GB2312" w:hAnsi="仿宋_GB2312" w:eastAsia="仿宋_GB2312" w:cs="仿宋_GB2312"/>
          <w:position w:val="-8"/>
          <w:sz w:val="28"/>
          <w:szCs w:val="28"/>
          <w:lang w:val="en-US" w:eastAsia="zh-CN"/>
        </w:rPr>
        <w:t>6</w:t>
      </w:r>
      <w:r>
        <w:rPr>
          <w:rFonts w:hint="eastAsia" w:ascii="仿宋_GB2312" w:hAnsi="仿宋_GB2312" w:eastAsia="仿宋_GB2312" w:cs="仿宋_GB2312"/>
          <w:position w:val="-8"/>
          <w:sz w:val="28"/>
          <w:szCs w:val="28"/>
        </w:rPr>
        <w:t>年</w:t>
      </w:r>
      <w:r>
        <w:rPr>
          <w:rFonts w:hint="eastAsia" w:ascii="仿宋_GB2312" w:hAnsi="仿宋_GB2312" w:eastAsia="仿宋_GB2312" w:cs="仿宋_GB2312"/>
          <w:position w:val="-8"/>
          <w:sz w:val="28"/>
          <w:szCs w:val="28"/>
          <w:lang w:val="en-US" w:eastAsia="zh-CN"/>
        </w:rPr>
        <w:t>7</w:t>
      </w:r>
      <w:r>
        <w:rPr>
          <w:rFonts w:hint="eastAsia" w:ascii="仿宋_GB2312" w:hAnsi="仿宋_GB2312" w:eastAsia="仿宋_GB2312" w:cs="仿宋_GB2312"/>
          <w:position w:val="-8"/>
          <w:sz w:val="28"/>
          <w:szCs w:val="28"/>
        </w:rPr>
        <w:t>月</w:t>
      </w:r>
      <w:r>
        <w:rPr>
          <w:rFonts w:hint="eastAsia" w:ascii="仿宋_GB2312" w:hAnsi="仿宋_GB2312" w:eastAsia="仿宋_GB2312" w:cs="仿宋_GB2312"/>
          <w:position w:val="-8"/>
          <w:sz w:val="28"/>
          <w:szCs w:val="28"/>
          <w:lang w:val="en-US" w:eastAsia="zh-CN"/>
        </w:rPr>
        <w:t>28</w:t>
      </w:r>
      <w:r>
        <w:rPr>
          <w:rFonts w:hint="eastAsia" w:ascii="仿宋_GB2312" w:hAnsi="仿宋_GB2312" w:eastAsia="仿宋_GB2312" w:cs="仿宋_GB2312"/>
          <w:position w:val="-8"/>
          <w:sz w:val="28"/>
          <w:szCs w:val="28"/>
        </w:rPr>
        <w:t>日印</w:t>
      </w:r>
      <w:r>
        <w:rPr>
          <w:rFonts w:hint="eastAsia" w:ascii="仿宋_GB2312" w:hAnsi="仿宋_GB2312" w:eastAsia="仿宋_GB2312" w:cs="仿宋_GB2312"/>
          <w:position w:val="-8"/>
          <w:sz w:val="28"/>
          <w:szCs w:val="28"/>
          <w:lang w:val="en-US" w:eastAsia="zh-CN"/>
        </w:rPr>
        <w:t>发</w:t>
      </w:r>
    </w:p>
    <w:sectPr>
      <w:pgSz w:w="11906" w:h="16838"/>
      <w:pgMar w:top="1984" w:right="1474" w:bottom="1984" w:left="1474" w:header="851" w:footer="964" w:gutter="0"/>
      <w:pgBorders>
        <w:top w:val="none" w:sz="0" w:space="0"/>
        <w:left w:val="none" w:sz="0" w:space="0"/>
        <w:bottom w:val="none" w:sz="0" w:space="0"/>
        <w:right w:val="none" w:sz="0" w:space="0"/>
      </w:pgBorders>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AA67A1-E0DA-4067-8350-D7BA8864E8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EAC1CA8A-C84B-4645-8762-D3D405B36B68}"/>
  </w:font>
  <w:font w:name="仿宋">
    <w:panose1 w:val="02010609060101010101"/>
    <w:charset w:val="86"/>
    <w:family w:val="auto"/>
    <w:pitch w:val="default"/>
    <w:sig w:usb0="800002BF" w:usb1="38CF7CFA" w:usb2="00000016" w:usb3="00000000" w:csb0="00040001" w:csb1="00000000"/>
    <w:embedRegular r:id="rId3" w:fontKey="{9B62FCDF-D216-409C-ADB8-47DFC7331A81}"/>
  </w:font>
  <w:font w:name="方正隶书_GBK">
    <w:panose1 w:val="02000000000000000000"/>
    <w:charset w:val="86"/>
    <w:family w:val="auto"/>
    <w:pitch w:val="default"/>
    <w:sig w:usb0="A00002BF" w:usb1="38CF7CFA" w:usb2="00082016" w:usb3="00000000" w:csb0="00040001" w:csb1="00000000"/>
    <w:embedRegular r:id="rId4" w:fontKey="{BB3534F3-B1F3-41EA-9582-B7AF8E6D3010}"/>
  </w:font>
  <w:font w:name="方正小标宋简体">
    <w:panose1 w:val="03000509000000000000"/>
    <w:charset w:val="86"/>
    <w:family w:val="auto"/>
    <w:pitch w:val="default"/>
    <w:sig w:usb0="00000001" w:usb1="080E0000" w:usb2="00000000" w:usb3="00000000" w:csb0="00040000" w:csb1="00000000"/>
    <w:embedRegular r:id="rId5" w:fontKey="{BB07CFA7-9662-4EBD-858A-EDF637613EB8}"/>
  </w:font>
  <w:font w:name="CESI黑体-GB2312">
    <w:altName w:val="黑体"/>
    <w:panose1 w:val="02000500000000000000"/>
    <w:charset w:val="86"/>
    <w:family w:val="auto"/>
    <w:pitch w:val="default"/>
    <w:sig w:usb0="00000000" w:usb1="00000000" w:usb2="00000012" w:usb3="00000000" w:csb0="0004000F" w:csb1="00000000"/>
    <w:embedRegular r:id="rId6" w:fontKey="{BC9F76BB-C7DC-4548-8555-42CC8F37E2F4}"/>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7BF39">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76228">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276228">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p w14:paraId="4288181C">
    <w:pPr>
      <w:pStyle w:val="8"/>
      <w:keepNext w:val="0"/>
      <w:keepLines w:val="0"/>
      <w:pageBreakBefore w:val="0"/>
      <w:widowControl w:val="0"/>
      <w:kinsoku/>
      <w:wordWrap/>
      <w:overflowPunct/>
      <w:topLinePunct w:val="0"/>
      <w:bidi w:val="0"/>
      <w:adjustRightInd/>
      <w:snapToGrid w:val="0"/>
      <w:ind w:left="210" w:leftChars="100" w:right="210" w:rightChars="100"/>
      <w:textAlignment w:val="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1911C">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B2E"/>
    <w:rsid w:val="00061110"/>
    <w:rsid w:val="00081535"/>
    <w:rsid w:val="00093219"/>
    <w:rsid w:val="00096B73"/>
    <w:rsid w:val="000A68B9"/>
    <w:rsid w:val="000B4445"/>
    <w:rsid w:val="000C6AB9"/>
    <w:rsid w:val="000D3C99"/>
    <w:rsid w:val="000E5D14"/>
    <w:rsid w:val="001164D2"/>
    <w:rsid w:val="00122F05"/>
    <w:rsid w:val="00123D1B"/>
    <w:rsid w:val="0014241C"/>
    <w:rsid w:val="00151BC5"/>
    <w:rsid w:val="0015301C"/>
    <w:rsid w:val="00170108"/>
    <w:rsid w:val="00175796"/>
    <w:rsid w:val="001762B9"/>
    <w:rsid w:val="0019393A"/>
    <w:rsid w:val="00195C2F"/>
    <w:rsid w:val="001A4EF5"/>
    <w:rsid w:val="001B7B4E"/>
    <w:rsid w:val="001C6725"/>
    <w:rsid w:val="002100E7"/>
    <w:rsid w:val="00211066"/>
    <w:rsid w:val="00221226"/>
    <w:rsid w:val="0022664C"/>
    <w:rsid w:val="00232BF3"/>
    <w:rsid w:val="0023505A"/>
    <w:rsid w:val="002B5403"/>
    <w:rsid w:val="003322D7"/>
    <w:rsid w:val="00332744"/>
    <w:rsid w:val="00337018"/>
    <w:rsid w:val="00355874"/>
    <w:rsid w:val="00355F9C"/>
    <w:rsid w:val="00380128"/>
    <w:rsid w:val="00385527"/>
    <w:rsid w:val="00394078"/>
    <w:rsid w:val="003B08C9"/>
    <w:rsid w:val="003E0C41"/>
    <w:rsid w:val="0041499A"/>
    <w:rsid w:val="0041729D"/>
    <w:rsid w:val="00436775"/>
    <w:rsid w:val="0044412D"/>
    <w:rsid w:val="00445D54"/>
    <w:rsid w:val="0045099E"/>
    <w:rsid w:val="00451588"/>
    <w:rsid w:val="00485A7F"/>
    <w:rsid w:val="00490709"/>
    <w:rsid w:val="00491E59"/>
    <w:rsid w:val="004A5D97"/>
    <w:rsid w:val="004B0079"/>
    <w:rsid w:val="004C4329"/>
    <w:rsid w:val="004C5F70"/>
    <w:rsid w:val="004D4EAB"/>
    <w:rsid w:val="004F5B2E"/>
    <w:rsid w:val="00521514"/>
    <w:rsid w:val="005249F7"/>
    <w:rsid w:val="0053279D"/>
    <w:rsid w:val="00550EA9"/>
    <w:rsid w:val="0055310D"/>
    <w:rsid w:val="00557ABB"/>
    <w:rsid w:val="005A2846"/>
    <w:rsid w:val="005A39D9"/>
    <w:rsid w:val="005C7A10"/>
    <w:rsid w:val="005D3BAD"/>
    <w:rsid w:val="005E25DD"/>
    <w:rsid w:val="005F350F"/>
    <w:rsid w:val="00602501"/>
    <w:rsid w:val="00610E59"/>
    <w:rsid w:val="00631378"/>
    <w:rsid w:val="00633089"/>
    <w:rsid w:val="006368F3"/>
    <w:rsid w:val="0064075E"/>
    <w:rsid w:val="006471A1"/>
    <w:rsid w:val="00686B66"/>
    <w:rsid w:val="00690D94"/>
    <w:rsid w:val="006C7AD7"/>
    <w:rsid w:val="006E57B8"/>
    <w:rsid w:val="006E64B4"/>
    <w:rsid w:val="006F61C7"/>
    <w:rsid w:val="007054B9"/>
    <w:rsid w:val="007223E9"/>
    <w:rsid w:val="00727C8C"/>
    <w:rsid w:val="00745381"/>
    <w:rsid w:val="00760F5B"/>
    <w:rsid w:val="00772ACD"/>
    <w:rsid w:val="007760FE"/>
    <w:rsid w:val="00776D96"/>
    <w:rsid w:val="007B2ABC"/>
    <w:rsid w:val="007C0D4E"/>
    <w:rsid w:val="007C387D"/>
    <w:rsid w:val="007D1552"/>
    <w:rsid w:val="007E0BF5"/>
    <w:rsid w:val="007E247E"/>
    <w:rsid w:val="007E69F7"/>
    <w:rsid w:val="0082206D"/>
    <w:rsid w:val="00840A44"/>
    <w:rsid w:val="008442B0"/>
    <w:rsid w:val="0084644B"/>
    <w:rsid w:val="00862618"/>
    <w:rsid w:val="00874830"/>
    <w:rsid w:val="00881F30"/>
    <w:rsid w:val="00890419"/>
    <w:rsid w:val="008960C6"/>
    <w:rsid w:val="008D27A0"/>
    <w:rsid w:val="008E4F81"/>
    <w:rsid w:val="008F0629"/>
    <w:rsid w:val="008F2606"/>
    <w:rsid w:val="00902964"/>
    <w:rsid w:val="00902FBD"/>
    <w:rsid w:val="00914931"/>
    <w:rsid w:val="0092028E"/>
    <w:rsid w:val="009443CC"/>
    <w:rsid w:val="00960024"/>
    <w:rsid w:val="00965EF9"/>
    <w:rsid w:val="0096714F"/>
    <w:rsid w:val="00967EAD"/>
    <w:rsid w:val="00994D11"/>
    <w:rsid w:val="00994F07"/>
    <w:rsid w:val="009D5242"/>
    <w:rsid w:val="009D7601"/>
    <w:rsid w:val="009E76E7"/>
    <w:rsid w:val="00A209B5"/>
    <w:rsid w:val="00A31009"/>
    <w:rsid w:val="00A41688"/>
    <w:rsid w:val="00A46F92"/>
    <w:rsid w:val="00A6360E"/>
    <w:rsid w:val="00AA63DC"/>
    <w:rsid w:val="00AC476F"/>
    <w:rsid w:val="00AF5351"/>
    <w:rsid w:val="00B27378"/>
    <w:rsid w:val="00B27A73"/>
    <w:rsid w:val="00B663F5"/>
    <w:rsid w:val="00B70E81"/>
    <w:rsid w:val="00B72E86"/>
    <w:rsid w:val="00BA2E4B"/>
    <w:rsid w:val="00BB011E"/>
    <w:rsid w:val="00BB3421"/>
    <w:rsid w:val="00BD0126"/>
    <w:rsid w:val="00C0664E"/>
    <w:rsid w:val="00C457F1"/>
    <w:rsid w:val="00C52961"/>
    <w:rsid w:val="00C53118"/>
    <w:rsid w:val="00C92330"/>
    <w:rsid w:val="00C93093"/>
    <w:rsid w:val="00CB4BD9"/>
    <w:rsid w:val="00CC3817"/>
    <w:rsid w:val="00CC4B8C"/>
    <w:rsid w:val="00CC6E2F"/>
    <w:rsid w:val="00CD1172"/>
    <w:rsid w:val="00CD21B6"/>
    <w:rsid w:val="00CD7599"/>
    <w:rsid w:val="00CF7D3A"/>
    <w:rsid w:val="00D07D76"/>
    <w:rsid w:val="00D14A5E"/>
    <w:rsid w:val="00D2643F"/>
    <w:rsid w:val="00D35A7E"/>
    <w:rsid w:val="00D46D2F"/>
    <w:rsid w:val="00D52CE8"/>
    <w:rsid w:val="00D71670"/>
    <w:rsid w:val="00D91673"/>
    <w:rsid w:val="00DA3F6D"/>
    <w:rsid w:val="00DB1A93"/>
    <w:rsid w:val="00DD25FF"/>
    <w:rsid w:val="00DE2203"/>
    <w:rsid w:val="00DE4815"/>
    <w:rsid w:val="00DE4F1B"/>
    <w:rsid w:val="00E2173C"/>
    <w:rsid w:val="00E3181B"/>
    <w:rsid w:val="00E350C0"/>
    <w:rsid w:val="00E365F8"/>
    <w:rsid w:val="00E502D5"/>
    <w:rsid w:val="00E65E30"/>
    <w:rsid w:val="00E73005"/>
    <w:rsid w:val="00E779E7"/>
    <w:rsid w:val="00E834CB"/>
    <w:rsid w:val="00E913F6"/>
    <w:rsid w:val="00EA01D0"/>
    <w:rsid w:val="00EA5256"/>
    <w:rsid w:val="00EB53E6"/>
    <w:rsid w:val="00EB7A35"/>
    <w:rsid w:val="00ED33F9"/>
    <w:rsid w:val="00EE5389"/>
    <w:rsid w:val="00EF01FA"/>
    <w:rsid w:val="00EF3307"/>
    <w:rsid w:val="00EF3F00"/>
    <w:rsid w:val="00F04CB6"/>
    <w:rsid w:val="00F269A1"/>
    <w:rsid w:val="00F34284"/>
    <w:rsid w:val="00F40FF1"/>
    <w:rsid w:val="00F76159"/>
    <w:rsid w:val="00F761C7"/>
    <w:rsid w:val="00FD2605"/>
    <w:rsid w:val="00FE7104"/>
    <w:rsid w:val="00FF22F6"/>
    <w:rsid w:val="0265100B"/>
    <w:rsid w:val="028F6391"/>
    <w:rsid w:val="02FB0730"/>
    <w:rsid w:val="037508EF"/>
    <w:rsid w:val="03EB33E6"/>
    <w:rsid w:val="042C2CD2"/>
    <w:rsid w:val="04DC6994"/>
    <w:rsid w:val="05452DE6"/>
    <w:rsid w:val="06296C1B"/>
    <w:rsid w:val="0633773B"/>
    <w:rsid w:val="066D0677"/>
    <w:rsid w:val="075E23EF"/>
    <w:rsid w:val="076A1064"/>
    <w:rsid w:val="09883352"/>
    <w:rsid w:val="09C86894"/>
    <w:rsid w:val="0B384313"/>
    <w:rsid w:val="0B43689E"/>
    <w:rsid w:val="0B77BA3B"/>
    <w:rsid w:val="0C247653"/>
    <w:rsid w:val="0CBC0F0C"/>
    <w:rsid w:val="0D082B77"/>
    <w:rsid w:val="0D253635"/>
    <w:rsid w:val="0DBA41BA"/>
    <w:rsid w:val="0E6944F0"/>
    <w:rsid w:val="0E923C84"/>
    <w:rsid w:val="0ED451C5"/>
    <w:rsid w:val="0EFB52D7"/>
    <w:rsid w:val="10054425"/>
    <w:rsid w:val="10352EA6"/>
    <w:rsid w:val="10420619"/>
    <w:rsid w:val="108A0180"/>
    <w:rsid w:val="10D545C6"/>
    <w:rsid w:val="11113950"/>
    <w:rsid w:val="115F03FD"/>
    <w:rsid w:val="11684100"/>
    <w:rsid w:val="11862EDB"/>
    <w:rsid w:val="12F97380"/>
    <w:rsid w:val="1446709C"/>
    <w:rsid w:val="155B3E56"/>
    <w:rsid w:val="15B57D72"/>
    <w:rsid w:val="167B0411"/>
    <w:rsid w:val="16AC0D37"/>
    <w:rsid w:val="182A5635"/>
    <w:rsid w:val="18A24DBE"/>
    <w:rsid w:val="198141D9"/>
    <w:rsid w:val="19C028B3"/>
    <w:rsid w:val="19F37695"/>
    <w:rsid w:val="1AE905CD"/>
    <w:rsid w:val="1BB682E9"/>
    <w:rsid w:val="1BEE66CA"/>
    <w:rsid w:val="1D1F7798"/>
    <w:rsid w:val="1D3DD9D4"/>
    <w:rsid w:val="1E5868E7"/>
    <w:rsid w:val="1E857786"/>
    <w:rsid w:val="1EAC1B71"/>
    <w:rsid w:val="1EBB539C"/>
    <w:rsid w:val="1FEDCF53"/>
    <w:rsid w:val="201D71FD"/>
    <w:rsid w:val="21D84798"/>
    <w:rsid w:val="222C7B0C"/>
    <w:rsid w:val="22427C9D"/>
    <w:rsid w:val="228F1BE6"/>
    <w:rsid w:val="232A4F8D"/>
    <w:rsid w:val="23C96D51"/>
    <w:rsid w:val="23D17488"/>
    <w:rsid w:val="243130A5"/>
    <w:rsid w:val="245B6DBE"/>
    <w:rsid w:val="24D863BF"/>
    <w:rsid w:val="261C7EA6"/>
    <w:rsid w:val="26436FA3"/>
    <w:rsid w:val="26AF5AFE"/>
    <w:rsid w:val="27E9A9A1"/>
    <w:rsid w:val="2857479E"/>
    <w:rsid w:val="2914147C"/>
    <w:rsid w:val="294A4AA3"/>
    <w:rsid w:val="29B80A9E"/>
    <w:rsid w:val="29D07AD7"/>
    <w:rsid w:val="29D47190"/>
    <w:rsid w:val="29E8126B"/>
    <w:rsid w:val="2A705465"/>
    <w:rsid w:val="2AC51818"/>
    <w:rsid w:val="2B630AA5"/>
    <w:rsid w:val="2B672E7D"/>
    <w:rsid w:val="2B9921D2"/>
    <w:rsid w:val="2BD547F9"/>
    <w:rsid w:val="2BDE21B5"/>
    <w:rsid w:val="2D661D22"/>
    <w:rsid w:val="2DF24C40"/>
    <w:rsid w:val="2E4D44AF"/>
    <w:rsid w:val="2EAF29B9"/>
    <w:rsid w:val="2EBA449C"/>
    <w:rsid w:val="2F2EE072"/>
    <w:rsid w:val="2FC65956"/>
    <w:rsid w:val="304D63A0"/>
    <w:rsid w:val="31280191"/>
    <w:rsid w:val="31986B85"/>
    <w:rsid w:val="31A601B2"/>
    <w:rsid w:val="328805B1"/>
    <w:rsid w:val="335319C2"/>
    <w:rsid w:val="336B7327"/>
    <w:rsid w:val="338E6A99"/>
    <w:rsid w:val="33D77FD0"/>
    <w:rsid w:val="35211EA1"/>
    <w:rsid w:val="35783A1F"/>
    <w:rsid w:val="3584091D"/>
    <w:rsid w:val="35BDF6F3"/>
    <w:rsid w:val="35EB4E01"/>
    <w:rsid w:val="36120D0B"/>
    <w:rsid w:val="364B3C6D"/>
    <w:rsid w:val="37230CA2"/>
    <w:rsid w:val="375A51E8"/>
    <w:rsid w:val="387EB522"/>
    <w:rsid w:val="38BB4686"/>
    <w:rsid w:val="39344560"/>
    <w:rsid w:val="3A1428EB"/>
    <w:rsid w:val="3A183401"/>
    <w:rsid w:val="3A577D39"/>
    <w:rsid w:val="3AF325B6"/>
    <w:rsid w:val="3B6066C9"/>
    <w:rsid w:val="3B6F4AEB"/>
    <w:rsid w:val="3BA62466"/>
    <w:rsid w:val="3BE52654"/>
    <w:rsid w:val="3C113CB8"/>
    <w:rsid w:val="3C6B1AF9"/>
    <w:rsid w:val="3C87185F"/>
    <w:rsid w:val="3D7D9C33"/>
    <w:rsid w:val="3DB29AA1"/>
    <w:rsid w:val="3DC22DC5"/>
    <w:rsid w:val="3DCF220B"/>
    <w:rsid w:val="3EF9809E"/>
    <w:rsid w:val="3EFFE6E3"/>
    <w:rsid w:val="3F9D626B"/>
    <w:rsid w:val="3F9FC463"/>
    <w:rsid w:val="3FBEC5A7"/>
    <w:rsid w:val="3FEF2601"/>
    <w:rsid w:val="411C669F"/>
    <w:rsid w:val="41F92334"/>
    <w:rsid w:val="42890F65"/>
    <w:rsid w:val="43205208"/>
    <w:rsid w:val="43D763C0"/>
    <w:rsid w:val="45D80EA1"/>
    <w:rsid w:val="46826ECA"/>
    <w:rsid w:val="468A7882"/>
    <w:rsid w:val="46BF55CE"/>
    <w:rsid w:val="471F398D"/>
    <w:rsid w:val="47665910"/>
    <w:rsid w:val="47CF5858"/>
    <w:rsid w:val="4804499F"/>
    <w:rsid w:val="48176067"/>
    <w:rsid w:val="49B928E9"/>
    <w:rsid w:val="4A70277F"/>
    <w:rsid w:val="4BBF0939"/>
    <w:rsid w:val="4C4663F7"/>
    <w:rsid w:val="4C5EED1D"/>
    <w:rsid w:val="4CD44062"/>
    <w:rsid w:val="4CE0665C"/>
    <w:rsid w:val="4E8949E5"/>
    <w:rsid w:val="4EA7120D"/>
    <w:rsid w:val="4EFFB287"/>
    <w:rsid w:val="4F547FA1"/>
    <w:rsid w:val="4FCDDC8D"/>
    <w:rsid w:val="4FE3CCB8"/>
    <w:rsid w:val="4FFE48D9"/>
    <w:rsid w:val="516F1CA7"/>
    <w:rsid w:val="518C687F"/>
    <w:rsid w:val="51A25952"/>
    <w:rsid w:val="523E4DB8"/>
    <w:rsid w:val="52623B15"/>
    <w:rsid w:val="5347220F"/>
    <w:rsid w:val="549C2F7C"/>
    <w:rsid w:val="565A6BAF"/>
    <w:rsid w:val="56CB570E"/>
    <w:rsid w:val="56EB1DDE"/>
    <w:rsid w:val="57742C2C"/>
    <w:rsid w:val="57F7837A"/>
    <w:rsid w:val="587B65AC"/>
    <w:rsid w:val="587FD094"/>
    <w:rsid w:val="58B32B1F"/>
    <w:rsid w:val="597F54EF"/>
    <w:rsid w:val="5AB67AC2"/>
    <w:rsid w:val="5AF6773A"/>
    <w:rsid w:val="5BD14958"/>
    <w:rsid w:val="5BF916CD"/>
    <w:rsid w:val="5BFFA6EF"/>
    <w:rsid w:val="5C7578F1"/>
    <w:rsid w:val="5D196571"/>
    <w:rsid w:val="5D6E3A86"/>
    <w:rsid w:val="5E70752F"/>
    <w:rsid w:val="5EDBDADE"/>
    <w:rsid w:val="5F265865"/>
    <w:rsid w:val="5F392C13"/>
    <w:rsid w:val="5FD81EEA"/>
    <w:rsid w:val="5FEDF94D"/>
    <w:rsid w:val="600C16FB"/>
    <w:rsid w:val="60F7AAB8"/>
    <w:rsid w:val="6119392B"/>
    <w:rsid w:val="61DE0274"/>
    <w:rsid w:val="63FF74CF"/>
    <w:rsid w:val="641B05BF"/>
    <w:rsid w:val="64212032"/>
    <w:rsid w:val="642F01D8"/>
    <w:rsid w:val="65DA34C6"/>
    <w:rsid w:val="674C4EE5"/>
    <w:rsid w:val="67FB662D"/>
    <w:rsid w:val="68233E14"/>
    <w:rsid w:val="6827419D"/>
    <w:rsid w:val="68926151"/>
    <w:rsid w:val="691D400F"/>
    <w:rsid w:val="693F01BC"/>
    <w:rsid w:val="69A0361F"/>
    <w:rsid w:val="69CD20F1"/>
    <w:rsid w:val="69CE42C9"/>
    <w:rsid w:val="6B546E00"/>
    <w:rsid w:val="6BA92993"/>
    <w:rsid w:val="6C247272"/>
    <w:rsid w:val="6C55458D"/>
    <w:rsid w:val="6CCFDA48"/>
    <w:rsid w:val="6CE47E11"/>
    <w:rsid w:val="6D066806"/>
    <w:rsid w:val="6D603F8A"/>
    <w:rsid w:val="6D63BB9E"/>
    <w:rsid w:val="6D6D59E0"/>
    <w:rsid w:val="6D9E95E6"/>
    <w:rsid w:val="6DE264EB"/>
    <w:rsid w:val="6E65451C"/>
    <w:rsid w:val="6E961DAA"/>
    <w:rsid w:val="6EE21510"/>
    <w:rsid w:val="6F072183"/>
    <w:rsid w:val="6F706349"/>
    <w:rsid w:val="6F8F7BC3"/>
    <w:rsid w:val="70604B44"/>
    <w:rsid w:val="70924886"/>
    <w:rsid w:val="715E7AC8"/>
    <w:rsid w:val="719165DF"/>
    <w:rsid w:val="71AA49B6"/>
    <w:rsid w:val="726D7A0A"/>
    <w:rsid w:val="731553B9"/>
    <w:rsid w:val="73AFB19E"/>
    <w:rsid w:val="74A758AC"/>
    <w:rsid w:val="74F712C0"/>
    <w:rsid w:val="75263716"/>
    <w:rsid w:val="75A23A2E"/>
    <w:rsid w:val="77BADD4D"/>
    <w:rsid w:val="77DE1134"/>
    <w:rsid w:val="77FE92A5"/>
    <w:rsid w:val="795F096A"/>
    <w:rsid w:val="79A35417"/>
    <w:rsid w:val="79FA5786"/>
    <w:rsid w:val="7A0C445A"/>
    <w:rsid w:val="7ACF31A7"/>
    <w:rsid w:val="7B80018A"/>
    <w:rsid w:val="7BA563D8"/>
    <w:rsid w:val="7BEBC498"/>
    <w:rsid w:val="7C1A02CD"/>
    <w:rsid w:val="7CD06CFA"/>
    <w:rsid w:val="7CEB73B7"/>
    <w:rsid w:val="7DCDA60C"/>
    <w:rsid w:val="7DDE4395"/>
    <w:rsid w:val="7E0861B2"/>
    <w:rsid w:val="7E396E7D"/>
    <w:rsid w:val="7ED2FA6A"/>
    <w:rsid w:val="7F093466"/>
    <w:rsid w:val="7F4ED614"/>
    <w:rsid w:val="7F57E178"/>
    <w:rsid w:val="7F761D3D"/>
    <w:rsid w:val="7F7A1ACF"/>
    <w:rsid w:val="7F7EC9E0"/>
    <w:rsid w:val="7F8D6573"/>
    <w:rsid w:val="7FB602F1"/>
    <w:rsid w:val="7FB71DF4"/>
    <w:rsid w:val="7FBDB5E4"/>
    <w:rsid w:val="7FD639FF"/>
    <w:rsid w:val="7FEB4309"/>
    <w:rsid w:val="7FEB933A"/>
    <w:rsid w:val="7FEEE852"/>
    <w:rsid w:val="7FF1354D"/>
    <w:rsid w:val="7FF33B7C"/>
    <w:rsid w:val="7FF46430"/>
    <w:rsid w:val="7FFB76D3"/>
    <w:rsid w:val="7FFF40C8"/>
    <w:rsid w:val="7FFFEBF6"/>
    <w:rsid w:val="8BF35D36"/>
    <w:rsid w:val="97D71717"/>
    <w:rsid w:val="97F7C2E9"/>
    <w:rsid w:val="A57FDDCE"/>
    <w:rsid w:val="A7A36A93"/>
    <w:rsid w:val="AE853A7B"/>
    <w:rsid w:val="AF8E359A"/>
    <w:rsid w:val="B5FE0112"/>
    <w:rsid w:val="B9FBF7BF"/>
    <w:rsid w:val="BEE32EF1"/>
    <w:rsid w:val="BEFE52AE"/>
    <w:rsid w:val="BFA7D801"/>
    <w:rsid w:val="BFEE81FF"/>
    <w:rsid w:val="BFFDAF54"/>
    <w:rsid w:val="CB363E46"/>
    <w:rsid w:val="CB8F19A7"/>
    <w:rsid w:val="CCBEBFCE"/>
    <w:rsid w:val="D6CFE9D8"/>
    <w:rsid w:val="D7FADA99"/>
    <w:rsid w:val="D7FB51C1"/>
    <w:rsid w:val="DBAFA028"/>
    <w:rsid w:val="DDFB1215"/>
    <w:rsid w:val="DE6FF416"/>
    <w:rsid w:val="DE77081F"/>
    <w:rsid w:val="DE7F74BA"/>
    <w:rsid w:val="DF3F738C"/>
    <w:rsid w:val="DFB7B7BF"/>
    <w:rsid w:val="DFFFF49D"/>
    <w:rsid w:val="E1F5A6C4"/>
    <w:rsid w:val="E5FF4722"/>
    <w:rsid w:val="E6BBD5D3"/>
    <w:rsid w:val="E7EFDD55"/>
    <w:rsid w:val="E7F7E7A5"/>
    <w:rsid w:val="ECEEEAFD"/>
    <w:rsid w:val="EE3B56AE"/>
    <w:rsid w:val="EF5FBA94"/>
    <w:rsid w:val="EFBF0FB1"/>
    <w:rsid w:val="EFBFD35F"/>
    <w:rsid w:val="EFC22321"/>
    <w:rsid w:val="EFEDA2FA"/>
    <w:rsid w:val="EFFE5884"/>
    <w:rsid w:val="F368D741"/>
    <w:rsid w:val="F3E55E93"/>
    <w:rsid w:val="F5D782BF"/>
    <w:rsid w:val="F74BE70D"/>
    <w:rsid w:val="F74F88C4"/>
    <w:rsid w:val="F7BFB021"/>
    <w:rsid w:val="F7FA3048"/>
    <w:rsid w:val="F7FFFA5E"/>
    <w:rsid w:val="F8AB3E09"/>
    <w:rsid w:val="F9F7D337"/>
    <w:rsid w:val="FB1B8A0C"/>
    <w:rsid w:val="FBCA6CCA"/>
    <w:rsid w:val="FBED4E70"/>
    <w:rsid w:val="FCDFA6A4"/>
    <w:rsid w:val="FDFD3B2E"/>
    <w:rsid w:val="FF1DE6D5"/>
    <w:rsid w:val="FF77816F"/>
    <w:rsid w:val="FF7FB964"/>
    <w:rsid w:val="FF7FE953"/>
    <w:rsid w:val="FF916E4B"/>
    <w:rsid w:val="FFAE27FC"/>
    <w:rsid w:val="FFAF8100"/>
    <w:rsid w:val="FFC7811A"/>
    <w:rsid w:val="FFDD7E65"/>
    <w:rsid w:val="FFEF45A3"/>
    <w:rsid w:val="FFEFB615"/>
    <w:rsid w:val="FFF74840"/>
    <w:rsid w:val="FFFA565C"/>
    <w:rsid w:val="FFFD16CB"/>
    <w:rsid w:val="FFFF22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pPr>
    <w:rPr>
      <w:rFonts w:ascii="仿宋_GB2312" w:eastAsia="仿宋_GB2312" w:cs="仿宋_GB2312"/>
    </w:rPr>
  </w:style>
  <w:style w:type="paragraph" w:styleId="3">
    <w:name w:val="Body Text Indent"/>
    <w:basedOn w:val="1"/>
    <w:unhideWhenUsed/>
    <w:qFormat/>
    <w:uiPriority w:val="99"/>
    <w:pPr>
      <w:spacing w:after="120" w:afterLines="0" w:afterAutospacing="0"/>
      <w:ind w:left="420" w:leftChars="200"/>
    </w:pPr>
  </w:style>
  <w:style w:type="paragraph" w:styleId="4">
    <w:name w:val="annotation text"/>
    <w:basedOn w:val="1"/>
    <w:link w:val="20"/>
    <w:semiHidden/>
    <w:unhideWhenUsed/>
    <w:qFormat/>
    <w:uiPriority w:val="0"/>
    <w:pPr>
      <w:jc w:val="left"/>
    </w:pPr>
    <w:rPr>
      <w:rFonts w:ascii="Times New Roman" w:hAnsi="Times New Roman" w:eastAsia="宋体" w:cs="Times New Roman"/>
      <w:szCs w:val="24"/>
    </w:rPr>
  </w:style>
  <w:style w:type="paragraph" w:styleId="5">
    <w:name w:val="Body Text"/>
    <w:basedOn w:val="1"/>
    <w:semiHidden/>
    <w:qFormat/>
    <w:uiPriority w:val="0"/>
    <w:rPr>
      <w:rFonts w:ascii="仿宋" w:hAnsi="仿宋" w:eastAsia="仿宋" w:cs="仿宋"/>
      <w:sz w:val="27"/>
      <w:szCs w:val="27"/>
      <w:lang w:val="en-US" w:eastAsia="en-US" w:bidi="ar-SA"/>
    </w:rPr>
  </w:style>
  <w:style w:type="paragraph" w:styleId="6">
    <w:name w:val="Date"/>
    <w:basedOn w:val="1"/>
    <w:next w:val="1"/>
    <w:link w:val="19"/>
    <w:semiHidden/>
    <w:unhideWhenUsed/>
    <w:qFormat/>
    <w:uiPriority w:val="99"/>
    <w:pPr>
      <w:ind w:left="100" w:leftChars="2500"/>
    </w:pPr>
  </w:style>
  <w:style w:type="paragraph" w:styleId="7">
    <w:name w:val="Balloon Text"/>
    <w:basedOn w:val="1"/>
    <w:link w:val="21"/>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snapToGrid w:val="0"/>
      <w:spacing w:line="640" w:lineRule="exact"/>
      <w:ind w:firstLine="705"/>
    </w:pPr>
    <w:rPr>
      <w:rFonts w:ascii="仿宋_GB2312" w:hAnsi="Times New Roman" w:eastAsia="仿宋_GB2312" w:cs="仿宋_GB2312"/>
      <w:color w:val="000000"/>
      <w:sz w:val="36"/>
      <w:szCs w:val="36"/>
    </w:rPr>
  </w:style>
  <w:style w:type="paragraph" w:styleId="11">
    <w:name w:val="Normal (Web)"/>
    <w:basedOn w:val="1"/>
    <w:qFormat/>
    <w:uiPriority w:val="0"/>
    <w:pPr>
      <w:spacing w:beforeAutospacing="1" w:afterAutospacing="1"/>
      <w:jc w:val="left"/>
    </w:pPr>
    <w:rPr>
      <w:rFonts w:cs="Times New Roman"/>
      <w:kern w:val="0"/>
      <w:sz w:val="24"/>
      <w:szCs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semiHidden/>
    <w:unhideWhenUsed/>
    <w:qFormat/>
    <w:uiPriority w:val="0"/>
    <w:rPr>
      <w:sz w:val="21"/>
      <w:szCs w:val="21"/>
    </w:rPr>
  </w:style>
  <w:style w:type="paragraph" w:customStyle="1" w:styleId="16">
    <w:name w:val="列出段落1"/>
    <w:next w:val="1"/>
    <w:qFormat/>
    <w:uiPriority w:val="0"/>
    <w:pPr>
      <w:widowControl w:val="0"/>
      <w:ind w:firstLine="420"/>
      <w:jc w:val="both"/>
    </w:pPr>
    <w:rPr>
      <w:rFonts w:ascii="Calibri" w:hAnsi="Calibri" w:eastAsia="Calibri" w:cs="Calibri"/>
      <w:color w:val="000000"/>
      <w:kern w:val="2"/>
      <w:sz w:val="21"/>
      <w:szCs w:val="21"/>
      <w:lang w:val="en-US" w:eastAsia="zh-CN" w:bidi="ar-SA"/>
    </w:r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日期 Char"/>
    <w:basedOn w:val="14"/>
    <w:link w:val="6"/>
    <w:semiHidden/>
    <w:qFormat/>
    <w:uiPriority w:val="99"/>
  </w:style>
  <w:style w:type="character" w:customStyle="1" w:styleId="20">
    <w:name w:val="批注文字 Char"/>
    <w:basedOn w:val="14"/>
    <w:link w:val="4"/>
    <w:semiHidden/>
    <w:qFormat/>
    <w:uiPriority w:val="0"/>
    <w:rPr>
      <w:rFonts w:ascii="Times New Roman" w:hAnsi="Times New Roman" w:eastAsia="宋体" w:cs="Times New Roman"/>
      <w:szCs w:val="24"/>
    </w:rPr>
  </w:style>
  <w:style w:type="character" w:customStyle="1" w:styleId="21">
    <w:name w:val="批注框文本 Char"/>
    <w:basedOn w:val="14"/>
    <w:link w:val="7"/>
    <w:semiHidden/>
    <w:qFormat/>
    <w:uiPriority w:val="99"/>
    <w:rPr>
      <w:sz w:val="18"/>
      <w:szCs w:val="18"/>
    </w:rPr>
  </w:style>
  <w:style w:type="character" w:customStyle="1" w:styleId="22">
    <w:name w:val="font11"/>
    <w:basedOn w:val="14"/>
    <w:qFormat/>
    <w:uiPriority w:val="0"/>
    <w:rPr>
      <w:rFonts w:hint="eastAsia" w:ascii="宋体" w:hAnsi="宋体" w:eastAsia="宋体" w:cs="宋体"/>
      <w:color w:val="000000"/>
      <w:sz w:val="22"/>
      <w:szCs w:val="22"/>
      <w:u w:val="none"/>
    </w:rPr>
  </w:style>
  <w:style w:type="character" w:customStyle="1" w:styleId="23">
    <w:name w:val="font61"/>
    <w:basedOn w:val="14"/>
    <w:qFormat/>
    <w:uiPriority w:val="0"/>
    <w:rPr>
      <w:rFonts w:hint="eastAsia" w:ascii="黑体" w:hAnsi="宋体" w:eastAsia="黑体" w:cs="黑体"/>
      <w:color w:val="000000"/>
      <w:sz w:val="22"/>
      <w:szCs w:val="22"/>
      <w:u w:val="none"/>
    </w:rPr>
  </w:style>
  <w:style w:type="character" w:customStyle="1" w:styleId="24">
    <w:name w:val="font71"/>
    <w:basedOn w:val="14"/>
    <w:qFormat/>
    <w:uiPriority w:val="0"/>
    <w:rPr>
      <w:rFonts w:hint="eastAsia" w:ascii="黑体" w:hAnsi="宋体" w:eastAsia="黑体" w:cs="黑体"/>
      <w:color w:val="000000"/>
      <w:sz w:val="22"/>
      <w:szCs w:val="22"/>
      <w:u w:val="none"/>
    </w:rPr>
  </w:style>
  <w:style w:type="character" w:customStyle="1" w:styleId="25">
    <w:name w:val="font81"/>
    <w:basedOn w:val="14"/>
    <w:qFormat/>
    <w:uiPriority w:val="0"/>
    <w:rPr>
      <w:rFonts w:ascii="仿宋_GB2312" w:eastAsia="仿宋_GB2312" w:cs="仿宋_GB2312"/>
      <w:color w:val="000000"/>
      <w:sz w:val="22"/>
      <w:szCs w:val="22"/>
      <w:u w:val="none"/>
    </w:rPr>
  </w:style>
  <w:style w:type="character" w:customStyle="1" w:styleId="26">
    <w:name w:val="font31"/>
    <w:basedOn w:val="14"/>
    <w:qFormat/>
    <w:uiPriority w:val="0"/>
    <w:rPr>
      <w:rFonts w:hint="eastAsia" w:ascii="宋体" w:hAnsi="宋体" w:eastAsia="宋体" w:cs="宋体"/>
      <w:color w:val="000000"/>
      <w:sz w:val="22"/>
      <w:szCs w:val="22"/>
      <w:u w:val="none"/>
    </w:rPr>
  </w:style>
  <w:style w:type="character" w:customStyle="1" w:styleId="27">
    <w:name w:val="font101"/>
    <w:basedOn w:val="14"/>
    <w:qFormat/>
    <w:uiPriority w:val="0"/>
    <w:rPr>
      <w:rFonts w:ascii="方正隶书_GBK" w:hAnsi="方正隶书_GBK" w:eastAsia="方正隶书_GBK" w:cs="方正隶书_GBK"/>
      <w:color w:val="000000"/>
      <w:sz w:val="22"/>
      <w:szCs w:val="22"/>
      <w:u w:val="none"/>
    </w:rPr>
  </w:style>
  <w:style w:type="character" w:customStyle="1" w:styleId="28">
    <w:name w:val="font91"/>
    <w:basedOn w:val="14"/>
    <w:qFormat/>
    <w:uiPriority w:val="0"/>
    <w:rPr>
      <w:rFonts w:hint="eastAsia" w:ascii="方正小标宋简体" w:hAnsi="方正小标宋简体" w:eastAsia="方正小标宋简体" w:cs="方正小标宋简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22</Pages>
  <Words>19731</Words>
  <Characters>20538</Characters>
  <Lines>60</Lines>
  <Paragraphs>17</Paragraphs>
  <TotalTime>3</TotalTime>
  <ScaleCrop>false</ScaleCrop>
  <LinksUpToDate>false</LinksUpToDate>
  <CharactersWithSpaces>20668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2019-04-09T23:36:00Z</dcterms:created>
  <dc:creator>user</dc:creator>
  <cp:lastModifiedBy>王</cp:lastModifiedBy>
  <cp:lastPrinted>2026-07-28T02:25:00Z</cp:lastPrinted>
  <dcterms:modified xsi:type="dcterms:W3CDTF">2026-08-21T06:15:56Z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916206775551441FA8F875FAA78E682D_13</vt:lpwstr>
  </property>
  <property fmtid="{D5CDD505-2E9C-101B-9397-08002B2CF9AE}" pid="4" name="KSOTemplateDocerSaveRecord">
    <vt:lpwstr>eyJoZGlkIjoiN2JjOGMxNDliZmM0ZmMxNTgwODM3NDgyY2I4M2Q1YjAiLCJ1c2VySWQiOiIyNjM1MzcwMjgifQ==</vt:lpwstr>
  </property>
</Properties>
</file>